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charts/chart45.xml" ContentType="application/vnd.openxmlformats-officedocument.drawingml.chart+xml"/>
  <Override PartName="/word/charts/chart46.xml" ContentType="application/vnd.openxmlformats-officedocument.drawingml.chart+xml"/>
  <Override PartName="/word/charts/chart47.xml" ContentType="application/vnd.openxmlformats-officedocument.drawingml.chart+xml"/>
  <Override PartName="/word/charts/chart48.xml" ContentType="application/vnd.openxmlformats-officedocument.drawingml.chart+xml"/>
  <Override PartName="/word/charts/chart49.xml" ContentType="application/vnd.openxmlformats-officedocument.drawingml.chart+xml"/>
  <Override PartName="/word/charts/chart5.xml" ContentType="application/vnd.openxmlformats-officedocument.drawingml.chart+xml"/>
  <Override PartName="/word/charts/chart50.xml" ContentType="application/vnd.openxmlformats-officedocument.drawingml.chart+xml"/>
  <Override PartName="/word/charts/chart51.xml" ContentType="application/vnd.openxmlformats-officedocument.drawingml.chart+xml"/>
  <Override PartName="/word/charts/chart52.xml" ContentType="application/vnd.openxmlformats-officedocument.drawingml.chart+xml"/>
  <Override PartName="/word/charts/chart53.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10.xml" ContentType="application/vnd.openxmlformats-officedocument.themeOverride+xml"/>
  <Override PartName="/word/theme/themeOverride11.xml" ContentType="application/vnd.openxmlformats-officedocument.themeOverride+xml"/>
  <Override PartName="/word/theme/themeOverride12.xml" ContentType="application/vnd.openxmlformats-officedocument.themeOverride+xml"/>
  <Override PartName="/word/theme/themeOverride13.xml" ContentType="application/vnd.openxmlformats-officedocument.themeOverride+xml"/>
  <Override PartName="/word/theme/themeOverride14.xml" ContentType="application/vnd.openxmlformats-officedocument.themeOverride+xml"/>
  <Override PartName="/word/theme/themeOverride15.xml" ContentType="application/vnd.openxmlformats-officedocument.themeOverride+xml"/>
  <Override PartName="/word/theme/themeOverride16.xml" ContentType="application/vnd.openxmlformats-officedocument.themeOverride+xml"/>
  <Override PartName="/word/theme/themeOverride17.xml" ContentType="application/vnd.openxmlformats-officedocument.themeOverride+xml"/>
  <Override PartName="/word/theme/themeOverride18.xml" ContentType="application/vnd.openxmlformats-officedocument.themeOverride+xml"/>
  <Override PartName="/word/theme/themeOverride19.xml" ContentType="application/vnd.openxmlformats-officedocument.themeOverride+xml"/>
  <Override PartName="/word/theme/themeOverride2.xml" ContentType="application/vnd.openxmlformats-officedocument.themeOverride+xml"/>
  <Override PartName="/word/theme/themeOverride20.xml" ContentType="application/vnd.openxmlformats-officedocument.themeOverride+xml"/>
  <Override PartName="/word/theme/themeOverride21.xml" ContentType="application/vnd.openxmlformats-officedocument.themeOverride+xml"/>
  <Override PartName="/word/theme/themeOverride22.xml" ContentType="application/vnd.openxmlformats-officedocument.themeOverride+xml"/>
  <Override PartName="/word/theme/themeOverride23.xml" ContentType="application/vnd.openxmlformats-officedocument.themeOverride+xml"/>
  <Override PartName="/word/theme/themeOverride24.xml" ContentType="application/vnd.openxmlformats-officedocument.themeOverride+xml"/>
  <Override PartName="/word/theme/themeOverride25.xml" ContentType="application/vnd.openxmlformats-officedocument.themeOverride+xml"/>
  <Override PartName="/word/theme/themeOverride26.xml" ContentType="application/vnd.openxmlformats-officedocument.themeOverride+xml"/>
  <Override PartName="/word/theme/themeOverride27.xml" ContentType="application/vnd.openxmlformats-officedocument.themeOverride+xml"/>
  <Override PartName="/word/theme/themeOverride28.xml" ContentType="application/vnd.openxmlformats-officedocument.themeOverride+xml"/>
  <Override PartName="/word/theme/themeOverride29.xml" ContentType="application/vnd.openxmlformats-officedocument.themeOverride+xml"/>
  <Override PartName="/word/theme/themeOverride3.xml" ContentType="application/vnd.openxmlformats-officedocument.themeOverride+xml"/>
  <Override PartName="/word/theme/themeOverride30.xml" ContentType="application/vnd.openxmlformats-officedocument.themeOverride+xml"/>
  <Override PartName="/word/theme/themeOverride31.xml" ContentType="application/vnd.openxmlformats-officedocument.themeOverride+xml"/>
  <Override PartName="/word/theme/themeOverride32.xml" ContentType="application/vnd.openxmlformats-officedocument.themeOverride+xml"/>
  <Override PartName="/word/theme/themeOverride33.xml" ContentType="application/vnd.openxmlformats-officedocument.themeOverride+xml"/>
  <Override PartName="/word/theme/themeOverride34.xml" ContentType="application/vnd.openxmlformats-officedocument.themeOverride+xml"/>
  <Override PartName="/word/theme/themeOverride35.xml" ContentType="application/vnd.openxmlformats-officedocument.themeOverride+xml"/>
  <Override PartName="/word/theme/themeOverride36.xml" ContentType="application/vnd.openxmlformats-officedocument.themeOverride+xml"/>
  <Override PartName="/word/theme/themeOverride37.xml" ContentType="application/vnd.openxmlformats-officedocument.themeOverride+xml"/>
  <Override PartName="/word/theme/themeOverride38.xml" ContentType="application/vnd.openxmlformats-officedocument.themeOverride+xml"/>
  <Override PartName="/word/theme/themeOverride39.xml" ContentType="application/vnd.openxmlformats-officedocument.themeOverride+xml"/>
  <Override PartName="/word/theme/themeOverride4.xml" ContentType="application/vnd.openxmlformats-officedocument.themeOverride+xml"/>
  <Override PartName="/word/theme/themeOverride40.xml" ContentType="application/vnd.openxmlformats-officedocument.themeOverride+xml"/>
  <Override PartName="/word/theme/themeOverride41.xml" ContentType="application/vnd.openxmlformats-officedocument.themeOverride+xml"/>
  <Override PartName="/word/theme/themeOverride42.xml" ContentType="application/vnd.openxmlformats-officedocument.themeOverride+xml"/>
  <Override PartName="/word/theme/themeOverride43.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Override PartName="/word/theme/themeOverride8.xml" ContentType="application/vnd.openxmlformats-officedocument.themeOverride+xml"/>
  <Override PartName="/word/theme/themeOverride9.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ectPr>
          <w:headerReference r:id="rId3" w:type="default"/>
          <w:footerReference r:id="rId4" w:type="default"/>
          <w:pgSz w:w="11906" w:h="16838"/>
          <w:pgMar w:top="1440" w:right="1800" w:bottom="1440" w:left="1800" w:header="851" w:footer="992" w:gutter="0"/>
          <w:cols w:space="425" w:num="1"/>
          <w:docGrid w:type="lines" w:linePitch="312" w:charSpace="0"/>
        </w:sectPr>
      </w:pPr>
      <w:bookmarkStart w:id="0" w:name="_Toc500497032"/>
      <w:r>
        <w:drawing>
          <wp:anchor distT="0" distB="0" distL="114300" distR="114300" simplePos="0" relativeHeight="251660288" behindDoc="0" locked="0" layoutInCell="1" allowOverlap="1">
            <wp:simplePos x="0" y="0"/>
            <wp:positionH relativeFrom="page">
              <wp:posOffset>-47625</wp:posOffset>
            </wp:positionH>
            <wp:positionV relativeFrom="paragraph">
              <wp:posOffset>-655320</wp:posOffset>
            </wp:positionV>
            <wp:extent cx="7610475" cy="10306050"/>
            <wp:effectExtent l="0" t="0" r="9525"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21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10475" cy="10306050"/>
                    </a:xfrm>
                    <a:prstGeom prst="rect">
                      <a:avLst/>
                    </a:prstGeom>
                  </pic:spPr>
                </pic:pic>
              </a:graphicData>
            </a:graphic>
          </wp:anchor>
        </w:drawing>
      </w:r>
    </w:p>
    <w:p>
      <w:pPr>
        <w:pStyle w:val="10"/>
      </w:pPr>
      <w:r>
        <w:rPr>
          <w:rFonts w:hint="eastAsia"/>
        </w:rPr>
        <w:t>目录</w:t>
      </w:r>
    </w:p>
    <w:p>
      <w:pPr>
        <w:pStyle w:val="10"/>
        <w:rPr>
          <w:rFonts w:asciiTheme="minorHAnsi" w:hAnsiTheme="minorHAnsi"/>
          <w:b w:val="0"/>
          <w:bCs w:val="0"/>
          <w:caps w:val="0"/>
          <w:sz w:val="21"/>
          <w:szCs w:val="22"/>
        </w:rPr>
      </w:pPr>
      <w:r>
        <w:fldChar w:fldCharType="begin"/>
      </w:r>
      <w:r>
        <w:instrText xml:space="preserve"> TOC \o "1-3" \h \z \u </w:instrText>
      </w:r>
      <w:r>
        <w:fldChar w:fldCharType="separate"/>
      </w:r>
      <w:r>
        <w:fldChar w:fldCharType="begin"/>
      </w:r>
      <w:r>
        <w:instrText xml:space="preserve"> HYPERLINK \l "_Toc503182998" </w:instrText>
      </w:r>
      <w:r>
        <w:fldChar w:fldCharType="separate"/>
      </w:r>
      <w:r>
        <w:rPr>
          <w:rStyle w:val="17"/>
        </w:rPr>
        <w:t>前言</w:t>
      </w:r>
      <w:r>
        <w:tab/>
      </w:r>
      <w:r>
        <w:fldChar w:fldCharType="begin"/>
      </w:r>
      <w:r>
        <w:instrText xml:space="preserve"> PAGEREF _Toc503182998 \h </w:instrText>
      </w:r>
      <w:r>
        <w:fldChar w:fldCharType="separate"/>
      </w:r>
      <w:r>
        <w:t>1</w:t>
      </w:r>
      <w:r>
        <w:fldChar w:fldCharType="end"/>
      </w:r>
      <w:r>
        <w:fldChar w:fldCharType="end"/>
      </w:r>
    </w:p>
    <w:p>
      <w:pPr>
        <w:pStyle w:val="10"/>
        <w:rPr>
          <w:rFonts w:asciiTheme="minorHAnsi" w:hAnsiTheme="minorHAnsi"/>
          <w:b w:val="0"/>
          <w:bCs w:val="0"/>
          <w:caps w:val="0"/>
          <w:sz w:val="21"/>
          <w:szCs w:val="22"/>
        </w:rPr>
      </w:pPr>
      <w:r>
        <w:fldChar w:fldCharType="begin"/>
      </w:r>
      <w:r>
        <w:instrText xml:space="preserve"> HYPERLINK \l "_Toc503182999" </w:instrText>
      </w:r>
      <w:r>
        <w:fldChar w:fldCharType="separate"/>
      </w:r>
      <w:r>
        <w:rPr>
          <w:rStyle w:val="17"/>
        </w:rPr>
        <w:t>学院概况</w:t>
      </w:r>
      <w:r>
        <w:tab/>
      </w:r>
      <w:r>
        <w:fldChar w:fldCharType="begin"/>
      </w:r>
      <w:r>
        <w:instrText xml:space="preserve"> PAGEREF _Toc503182999 \h </w:instrText>
      </w:r>
      <w:r>
        <w:fldChar w:fldCharType="separate"/>
      </w:r>
      <w:r>
        <w:t>2</w:t>
      </w:r>
      <w:r>
        <w:fldChar w:fldCharType="end"/>
      </w:r>
      <w:r>
        <w:fldChar w:fldCharType="end"/>
      </w:r>
    </w:p>
    <w:p>
      <w:pPr>
        <w:pStyle w:val="10"/>
        <w:rPr>
          <w:rFonts w:asciiTheme="minorHAnsi" w:hAnsiTheme="minorHAnsi"/>
          <w:b w:val="0"/>
          <w:bCs w:val="0"/>
          <w:caps w:val="0"/>
          <w:sz w:val="21"/>
          <w:szCs w:val="22"/>
        </w:rPr>
      </w:pPr>
      <w:r>
        <w:fldChar w:fldCharType="begin"/>
      </w:r>
      <w:r>
        <w:instrText xml:space="preserve"> HYPERLINK \l "_Toc503183000" </w:instrText>
      </w:r>
      <w:r>
        <w:fldChar w:fldCharType="separate"/>
      </w:r>
      <w:r>
        <w:rPr>
          <w:rStyle w:val="17"/>
        </w:rPr>
        <w:t>第一章 2017届毕业生基本就业情况</w:t>
      </w:r>
      <w:r>
        <w:tab/>
      </w:r>
      <w:r>
        <w:fldChar w:fldCharType="begin"/>
      </w:r>
      <w:r>
        <w:instrText xml:space="preserve"> PAGEREF _Toc503183000 \h </w:instrText>
      </w:r>
      <w:r>
        <w:fldChar w:fldCharType="separate"/>
      </w:r>
      <w:r>
        <w:t>4</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"_Toc503183001" </w:instrText>
      </w:r>
      <w:r>
        <w:fldChar w:fldCharType="separate"/>
      </w:r>
      <w:r>
        <w:rPr>
          <w:rStyle w:val="17"/>
        </w:rPr>
        <w:t>一、2017届毕业生规模与结构分析</w:t>
      </w:r>
      <w:r>
        <w:tab/>
      </w:r>
      <w:r>
        <w:fldChar w:fldCharType="begin"/>
      </w:r>
      <w:r>
        <w:instrText xml:space="preserve"> PAGEREF _Toc503183001 \h </w:instrText>
      </w:r>
      <w:r>
        <w:fldChar w:fldCharType="separate"/>
      </w:r>
      <w:r>
        <w:t>4</w:t>
      </w:r>
      <w:r>
        <w:fldChar w:fldCharType="end"/>
      </w:r>
      <w:r>
        <w:fldChar w:fldCharType="end"/>
      </w:r>
    </w:p>
    <w:p>
      <w:pPr>
        <w:pStyle w:val="5"/>
        <w:tabs>
          <w:tab w:val="right" w:leader="dot" w:pos="8296"/>
        </w:tabs>
        <w:rPr>
          <w:sz w:val="21"/>
          <w:szCs w:val="22"/>
        </w:rPr>
      </w:pPr>
      <w:r>
        <w:fldChar w:fldCharType="begin"/>
      </w:r>
      <w:r>
        <w:instrText xml:space="preserve"> HYPERLINK \l "_Toc503183002" </w:instrText>
      </w:r>
      <w:r>
        <w:fldChar w:fldCharType="separate"/>
      </w:r>
      <w:r>
        <w:rPr>
          <w:rStyle w:val="17"/>
        </w:rPr>
        <w:t>（一）毕业生总体及分性别结构分布</w:t>
      </w:r>
      <w:r>
        <w:tab/>
      </w:r>
      <w:r>
        <w:fldChar w:fldCharType="begin"/>
      </w:r>
      <w:r>
        <w:instrText xml:space="preserve"> PAGEREF _Toc503183002 \h </w:instrText>
      </w:r>
      <w:r>
        <w:fldChar w:fldCharType="separate"/>
      </w:r>
      <w:r>
        <w:t>4</w:t>
      </w:r>
      <w:r>
        <w:fldChar w:fldCharType="end"/>
      </w:r>
      <w:r>
        <w:fldChar w:fldCharType="end"/>
      </w:r>
    </w:p>
    <w:p>
      <w:pPr>
        <w:pStyle w:val="5"/>
        <w:tabs>
          <w:tab w:val="right" w:leader="dot" w:pos="8296"/>
        </w:tabs>
        <w:rPr>
          <w:sz w:val="21"/>
          <w:szCs w:val="22"/>
        </w:rPr>
      </w:pPr>
      <w:r>
        <w:fldChar w:fldCharType="begin"/>
      </w:r>
      <w:r>
        <w:instrText xml:space="preserve"> HYPERLINK \l "_Toc503183003" </w:instrText>
      </w:r>
      <w:r>
        <w:fldChar w:fldCharType="separate"/>
      </w:r>
      <w:r>
        <w:rPr>
          <w:rStyle w:val="17"/>
        </w:rPr>
        <w:t>（二）毕业生分学院和专业结构分布</w:t>
      </w:r>
      <w:r>
        <w:tab/>
      </w:r>
      <w:r>
        <w:fldChar w:fldCharType="begin"/>
      </w:r>
      <w:r>
        <w:instrText xml:space="preserve"> PAGEREF _Toc503183003 \h </w:instrText>
      </w:r>
      <w:r>
        <w:fldChar w:fldCharType="separate"/>
      </w:r>
      <w:r>
        <w:t>4</w:t>
      </w:r>
      <w:r>
        <w:fldChar w:fldCharType="end"/>
      </w:r>
      <w:r>
        <w:fldChar w:fldCharType="end"/>
      </w:r>
    </w:p>
    <w:p>
      <w:pPr>
        <w:pStyle w:val="5"/>
        <w:tabs>
          <w:tab w:val="right" w:leader="dot" w:pos="8296"/>
        </w:tabs>
        <w:rPr>
          <w:sz w:val="21"/>
          <w:szCs w:val="22"/>
        </w:rPr>
      </w:pPr>
      <w:r>
        <w:fldChar w:fldCharType="begin"/>
      </w:r>
      <w:r>
        <w:instrText xml:space="preserve"> HYPERLINK \l "_Toc503183004" </w:instrText>
      </w:r>
      <w:r>
        <w:fldChar w:fldCharType="separate"/>
      </w:r>
      <w:r>
        <w:rPr>
          <w:rStyle w:val="17"/>
        </w:rPr>
        <w:t>（三）毕业生分生源地结构分布</w:t>
      </w:r>
      <w:r>
        <w:tab/>
      </w:r>
      <w:r>
        <w:fldChar w:fldCharType="begin"/>
      </w:r>
      <w:r>
        <w:instrText xml:space="preserve"> PAGEREF _Toc503183004 \h </w:instrText>
      </w:r>
      <w:r>
        <w:fldChar w:fldCharType="separate"/>
      </w:r>
      <w:r>
        <w:t>5</w:t>
      </w:r>
      <w:r>
        <w:fldChar w:fldCharType="end"/>
      </w:r>
      <w:r>
        <w:fldChar w:fldCharType="end"/>
      </w:r>
    </w:p>
    <w:p>
      <w:pPr>
        <w:pStyle w:val="5"/>
        <w:tabs>
          <w:tab w:val="right" w:leader="dot" w:pos="8296"/>
        </w:tabs>
        <w:rPr>
          <w:sz w:val="21"/>
          <w:szCs w:val="22"/>
        </w:rPr>
      </w:pPr>
      <w:r>
        <w:fldChar w:fldCharType="begin"/>
      </w:r>
      <w:r>
        <w:instrText xml:space="preserve"> HYPERLINK \l "_Toc503183005" </w:instrText>
      </w:r>
      <w:r>
        <w:fldChar w:fldCharType="separate"/>
      </w:r>
      <w:r>
        <w:rPr>
          <w:rStyle w:val="17"/>
        </w:rPr>
        <w:t>（四）毕业生分民族结构分布</w:t>
      </w:r>
      <w:r>
        <w:tab/>
      </w:r>
      <w:r>
        <w:fldChar w:fldCharType="begin"/>
      </w:r>
      <w:r>
        <w:instrText xml:space="preserve"> PAGEREF _Toc503183005 \h </w:instrText>
      </w:r>
      <w:r>
        <w:fldChar w:fldCharType="separate"/>
      </w:r>
      <w:r>
        <w:t>6</w:t>
      </w:r>
      <w:r>
        <w:fldChar w:fldCharType="end"/>
      </w:r>
      <w:r>
        <w:fldChar w:fldCharType="end"/>
      </w:r>
    </w:p>
    <w:p>
      <w:pPr>
        <w:pStyle w:val="5"/>
        <w:tabs>
          <w:tab w:val="right" w:leader="dot" w:pos="8296"/>
        </w:tabs>
        <w:rPr>
          <w:sz w:val="21"/>
          <w:szCs w:val="22"/>
        </w:rPr>
      </w:pPr>
      <w:r>
        <w:fldChar w:fldCharType="begin"/>
      </w:r>
      <w:r>
        <w:instrText xml:space="preserve"> HYPERLINK \l "_Toc503183006" </w:instrText>
      </w:r>
      <w:r>
        <w:fldChar w:fldCharType="separate"/>
      </w:r>
      <w:r>
        <w:rPr>
          <w:rStyle w:val="17"/>
        </w:rPr>
        <w:t>（五）毕业生分城乡结构分布</w:t>
      </w:r>
      <w:r>
        <w:tab/>
      </w:r>
      <w:r>
        <w:fldChar w:fldCharType="begin"/>
      </w:r>
      <w:r>
        <w:instrText xml:space="preserve"> PAGEREF _Toc503183006 \h </w:instrText>
      </w:r>
      <w:r>
        <w:fldChar w:fldCharType="separate"/>
      </w:r>
      <w:r>
        <w:t>7</w:t>
      </w:r>
      <w:r>
        <w:fldChar w:fldCharType="end"/>
      </w:r>
      <w:r>
        <w:fldChar w:fldCharType="end"/>
      </w:r>
    </w:p>
    <w:p>
      <w:pPr>
        <w:pStyle w:val="5"/>
        <w:tabs>
          <w:tab w:val="right" w:leader="dot" w:pos="8296"/>
        </w:tabs>
        <w:rPr>
          <w:sz w:val="21"/>
          <w:szCs w:val="22"/>
        </w:rPr>
      </w:pPr>
      <w:r>
        <w:fldChar w:fldCharType="begin"/>
      </w:r>
      <w:r>
        <w:instrText xml:space="preserve"> HYPERLINK \l "_Toc503183007" </w:instrText>
      </w:r>
      <w:r>
        <w:fldChar w:fldCharType="separate"/>
      </w:r>
      <w:r>
        <w:rPr>
          <w:rStyle w:val="17"/>
        </w:rPr>
        <w:t>（六）毕业生分困难生类别结构分布</w:t>
      </w:r>
      <w:r>
        <w:tab/>
      </w:r>
      <w:r>
        <w:fldChar w:fldCharType="begin"/>
      </w:r>
      <w:r>
        <w:instrText xml:space="preserve"> PAGEREF _Toc503183007 \h </w:instrText>
      </w:r>
      <w:r>
        <w:fldChar w:fldCharType="separate"/>
      </w:r>
      <w:r>
        <w:t>8</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"_Toc503183008" </w:instrText>
      </w:r>
      <w:r>
        <w:fldChar w:fldCharType="separate"/>
      </w:r>
      <w:r>
        <w:rPr>
          <w:rStyle w:val="17"/>
        </w:rPr>
        <w:t>二、2017届毕业生就业率分析</w:t>
      </w:r>
      <w:r>
        <w:tab/>
      </w:r>
      <w:r>
        <w:fldChar w:fldCharType="begin"/>
      </w:r>
      <w:r>
        <w:instrText xml:space="preserve"> PAGEREF _Toc503183008 \h </w:instrText>
      </w:r>
      <w:r>
        <w:fldChar w:fldCharType="separate"/>
      </w:r>
      <w:r>
        <w:t>8</w:t>
      </w:r>
      <w:r>
        <w:fldChar w:fldCharType="end"/>
      </w:r>
      <w:r>
        <w:fldChar w:fldCharType="end"/>
      </w:r>
    </w:p>
    <w:p>
      <w:pPr>
        <w:pStyle w:val="5"/>
        <w:tabs>
          <w:tab w:val="right" w:leader="dot" w:pos="8296"/>
        </w:tabs>
        <w:rPr>
          <w:sz w:val="21"/>
          <w:szCs w:val="22"/>
        </w:rPr>
      </w:pPr>
      <w:r>
        <w:fldChar w:fldCharType="begin"/>
      </w:r>
      <w:r>
        <w:instrText xml:space="preserve"> HYPERLINK \l "_Toc503183009" </w:instrText>
      </w:r>
      <w:r>
        <w:fldChar w:fldCharType="separate"/>
      </w:r>
      <w:r>
        <w:rPr>
          <w:rStyle w:val="17"/>
        </w:rPr>
        <w:t>（一）毕业生总体及分性别就业率</w:t>
      </w:r>
      <w:r>
        <w:tab/>
      </w:r>
      <w:r>
        <w:fldChar w:fldCharType="begin"/>
      </w:r>
      <w:r>
        <w:instrText xml:space="preserve"> PAGEREF _Toc503183009 \h </w:instrText>
      </w:r>
      <w:r>
        <w:fldChar w:fldCharType="separate"/>
      </w:r>
      <w:r>
        <w:t>8</w:t>
      </w:r>
      <w:r>
        <w:fldChar w:fldCharType="end"/>
      </w:r>
      <w:r>
        <w:fldChar w:fldCharType="end"/>
      </w:r>
    </w:p>
    <w:p>
      <w:pPr>
        <w:pStyle w:val="5"/>
        <w:tabs>
          <w:tab w:val="right" w:leader="dot" w:pos="8296"/>
        </w:tabs>
        <w:rPr>
          <w:sz w:val="21"/>
          <w:szCs w:val="22"/>
        </w:rPr>
      </w:pPr>
      <w:r>
        <w:fldChar w:fldCharType="begin"/>
      </w:r>
      <w:r>
        <w:instrText xml:space="preserve"> HYPERLINK \l "_Toc503183010" </w:instrText>
      </w:r>
      <w:r>
        <w:fldChar w:fldCharType="separate"/>
      </w:r>
      <w:r>
        <w:rPr>
          <w:rStyle w:val="17"/>
        </w:rPr>
        <w:t>（二）毕业生分学院和专业就业率</w:t>
      </w:r>
      <w:r>
        <w:tab/>
      </w:r>
      <w:r>
        <w:fldChar w:fldCharType="begin"/>
      </w:r>
      <w:r>
        <w:instrText xml:space="preserve"> PAGEREF _Toc503183010 \h </w:instrText>
      </w:r>
      <w:r>
        <w:fldChar w:fldCharType="separate"/>
      </w:r>
      <w:r>
        <w:t>9</w:t>
      </w:r>
      <w:r>
        <w:fldChar w:fldCharType="end"/>
      </w:r>
      <w:r>
        <w:fldChar w:fldCharType="end"/>
      </w:r>
    </w:p>
    <w:p>
      <w:pPr>
        <w:pStyle w:val="5"/>
        <w:tabs>
          <w:tab w:val="right" w:leader="dot" w:pos="8296"/>
        </w:tabs>
        <w:rPr>
          <w:sz w:val="21"/>
          <w:szCs w:val="22"/>
        </w:rPr>
      </w:pPr>
      <w:r>
        <w:fldChar w:fldCharType="begin"/>
      </w:r>
      <w:r>
        <w:instrText xml:space="preserve"> HYPERLINK \l "_Toc503183011" </w:instrText>
      </w:r>
      <w:r>
        <w:fldChar w:fldCharType="separate"/>
      </w:r>
      <w:r>
        <w:rPr>
          <w:rStyle w:val="17"/>
        </w:rPr>
        <w:t>（三）毕业生分生源地就业率</w:t>
      </w:r>
      <w:r>
        <w:tab/>
      </w:r>
      <w:r>
        <w:fldChar w:fldCharType="begin"/>
      </w:r>
      <w:r>
        <w:instrText xml:space="preserve"> PAGEREF _Toc503183011 \h </w:instrText>
      </w:r>
      <w:r>
        <w:fldChar w:fldCharType="separate"/>
      </w:r>
      <w:r>
        <w:t>10</w:t>
      </w:r>
      <w:r>
        <w:fldChar w:fldCharType="end"/>
      </w:r>
      <w:r>
        <w:fldChar w:fldCharType="end"/>
      </w:r>
    </w:p>
    <w:p>
      <w:pPr>
        <w:pStyle w:val="5"/>
        <w:tabs>
          <w:tab w:val="right" w:leader="dot" w:pos="8296"/>
        </w:tabs>
        <w:rPr>
          <w:sz w:val="21"/>
          <w:szCs w:val="22"/>
        </w:rPr>
      </w:pPr>
      <w:r>
        <w:fldChar w:fldCharType="begin"/>
      </w:r>
      <w:r>
        <w:instrText xml:space="preserve"> HYPERLINK \l "_Toc503183012" </w:instrText>
      </w:r>
      <w:r>
        <w:fldChar w:fldCharType="separate"/>
      </w:r>
      <w:r>
        <w:rPr>
          <w:rStyle w:val="17"/>
        </w:rPr>
        <w:t>（四）毕业生分民族就业率</w:t>
      </w:r>
      <w:r>
        <w:tab/>
      </w:r>
      <w:r>
        <w:fldChar w:fldCharType="begin"/>
      </w:r>
      <w:r>
        <w:instrText xml:space="preserve"> PAGEREF _Toc503183012 \h </w:instrText>
      </w:r>
      <w:r>
        <w:fldChar w:fldCharType="separate"/>
      </w:r>
      <w:r>
        <w:t>11</w:t>
      </w:r>
      <w:r>
        <w:fldChar w:fldCharType="end"/>
      </w:r>
      <w:r>
        <w:fldChar w:fldCharType="end"/>
      </w:r>
    </w:p>
    <w:p>
      <w:pPr>
        <w:pStyle w:val="5"/>
        <w:tabs>
          <w:tab w:val="right" w:leader="dot" w:pos="8296"/>
        </w:tabs>
        <w:rPr>
          <w:sz w:val="21"/>
          <w:szCs w:val="22"/>
        </w:rPr>
      </w:pPr>
      <w:r>
        <w:fldChar w:fldCharType="begin"/>
      </w:r>
      <w:r>
        <w:instrText xml:space="preserve"> HYPERLINK \l "_Toc503183013" </w:instrText>
      </w:r>
      <w:r>
        <w:fldChar w:fldCharType="separate"/>
      </w:r>
      <w:r>
        <w:rPr>
          <w:rStyle w:val="17"/>
        </w:rPr>
        <w:t>（五）毕业生分困难生类别就业率</w:t>
      </w:r>
      <w:r>
        <w:tab/>
      </w:r>
      <w:r>
        <w:fldChar w:fldCharType="begin"/>
      </w:r>
      <w:r>
        <w:instrText xml:space="preserve"> PAGEREF _Toc503183013 \h </w:instrText>
      </w:r>
      <w:r>
        <w:fldChar w:fldCharType="separate"/>
      </w:r>
      <w:r>
        <w:t>11</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"_Toc503183014" </w:instrText>
      </w:r>
      <w:r>
        <w:fldChar w:fldCharType="separate"/>
      </w:r>
      <w:r>
        <w:rPr>
          <w:rStyle w:val="17"/>
        </w:rPr>
        <w:t>三、2017届毕业生就业特色分析</w:t>
      </w:r>
      <w:r>
        <w:tab/>
      </w:r>
      <w:r>
        <w:fldChar w:fldCharType="begin"/>
      </w:r>
      <w:r>
        <w:instrText xml:space="preserve"> PAGEREF _Toc503183014 \h </w:instrText>
      </w:r>
      <w:r>
        <w:fldChar w:fldCharType="separate"/>
      </w:r>
      <w:r>
        <w:t>12</w:t>
      </w:r>
      <w:r>
        <w:fldChar w:fldCharType="end"/>
      </w:r>
      <w:r>
        <w:fldChar w:fldCharType="end"/>
      </w:r>
    </w:p>
    <w:p>
      <w:pPr>
        <w:pStyle w:val="5"/>
        <w:tabs>
          <w:tab w:val="right" w:leader="dot" w:pos="8296"/>
        </w:tabs>
        <w:rPr>
          <w:sz w:val="21"/>
          <w:szCs w:val="22"/>
        </w:rPr>
      </w:pPr>
      <w:r>
        <w:fldChar w:fldCharType="begin"/>
      </w:r>
      <w:r>
        <w:instrText xml:space="preserve"> HYPERLINK \l "_Toc503183015" </w:instrText>
      </w:r>
      <w:r>
        <w:fldChar w:fldCharType="separate"/>
      </w:r>
      <w:r>
        <w:rPr>
          <w:rStyle w:val="17"/>
        </w:rPr>
        <w:t>（一）毕业生毕业去向</w:t>
      </w:r>
      <w:r>
        <w:tab/>
      </w:r>
      <w:r>
        <w:fldChar w:fldCharType="begin"/>
      </w:r>
      <w:r>
        <w:instrText xml:space="preserve"> PAGEREF _Toc503183015 \h </w:instrText>
      </w:r>
      <w:r>
        <w:fldChar w:fldCharType="separate"/>
      </w:r>
      <w:r>
        <w:t>12</w:t>
      </w:r>
      <w:r>
        <w:fldChar w:fldCharType="end"/>
      </w:r>
      <w:r>
        <w:fldChar w:fldCharType="end"/>
      </w:r>
    </w:p>
    <w:p>
      <w:pPr>
        <w:pStyle w:val="5"/>
        <w:tabs>
          <w:tab w:val="right" w:leader="dot" w:pos="8296"/>
        </w:tabs>
        <w:rPr>
          <w:sz w:val="21"/>
          <w:szCs w:val="22"/>
        </w:rPr>
      </w:pPr>
      <w:r>
        <w:fldChar w:fldCharType="begin"/>
      </w:r>
      <w:r>
        <w:instrText xml:space="preserve"> HYPERLINK \l "_Toc503183016" </w:instrText>
      </w:r>
      <w:r>
        <w:fldChar w:fldCharType="separate"/>
      </w:r>
      <w:r>
        <w:rPr>
          <w:rStyle w:val="17"/>
        </w:rPr>
        <w:t>（二）毕业生就业单位性质</w:t>
      </w:r>
      <w:r>
        <w:tab/>
      </w:r>
      <w:r>
        <w:fldChar w:fldCharType="begin"/>
      </w:r>
      <w:r>
        <w:instrText xml:space="preserve"> PAGEREF _Toc503183016 \h </w:instrText>
      </w:r>
      <w:r>
        <w:fldChar w:fldCharType="separate"/>
      </w:r>
      <w:r>
        <w:t>12</w:t>
      </w:r>
      <w:r>
        <w:fldChar w:fldCharType="end"/>
      </w:r>
      <w:r>
        <w:fldChar w:fldCharType="end"/>
      </w:r>
    </w:p>
    <w:p>
      <w:pPr>
        <w:pStyle w:val="5"/>
        <w:tabs>
          <w:tab w:val="right" w:leader="dot" w:pos="8296"/>
        </w:tabs>
        <w:rPr>
          <w:sz w:val="21"/>
          <w:szCs w:val="22"/>
        </w:rPr>
      </w:pPr>
      <w:r>
        <w:fldChar w:fldCharType="begin"/>
      </w:r>
      <w:r>
        <w:instrText xml:space="preserve"> HYPERLINK \l "_Toc503183017" </w:instrText>
      </w:r>
      <w:r>
        <w:fldChar w:fldCharType="separate"/>
      </w:r>
      <w:r>
        <w:rPr>
          <w:rStyle w:val="17"/>
        </w:rPr>
        <w:t>（三）毕业生就业单位行业</w:t>
      </w:r>
      <w:r>
        <w:tab/>
      </w:r>
      <w:r>
        <w:fldChar w:fldCharType="begin"/>
      </w:r>
      <w:r>
        <w:instrText xml:space="preserve"> PAGEREF _Toc503183017 \h </w:instrText>
      </w:r>
      <w:r>
        <w:fldChar w:fldCharType="separate"/>
      </w:r>
      <w:r>
        <w:t>13</w:t>
      </w:r>
      <w:r>
        <w:fldChar w:fldCharType="end"/>
      </w:r>
      <w:r>
        <w:fldChar w:fldCharType="end"/>
      </w:r>
    </w:p>
    <w:p>
      <w:pPr>
        <w:pStyle w:val="5"/>
        <w:tabs>
          <w:tab w:val="right" w:leader="dot" w:pos="8296"/>
        </w:tabs>
        <w:rPr>
          <w:sz w:val="21"/>
          <w:szCs w:val="22"/>
        </w:rPr>
      </w:pPr>
      <w:r>
        <w:fldChar w:fldCharType="begin"/>
      </w:r>
      <w:r>
        <w:instrText xml:space="preserve"> HYPERLINK \l "_Toc503183018" </w:instrText>
      </w:r>
      <w:r>
        <w:fldChar w:fldCharType="separate"/>
      </w:r>
      <w:r>
        <w:rPr>
          <w:rStyle w:val="17"/>
        </w:rPr>
        <w:t>（四）毕业生就业职位类别</w:t>
      </w:r>
      <w:r>
        <w:tab/>
      </w:r>
      <w:r>
        <w:fldChar w:fldCharType="begin"/>
      </w:r>
      <w:r>
        <w:instrText xml:space="preserve"> PAGEREF _Toc503183018 \h </w:instrText>
      </w:r>
      <w:r>
        <w:fldChar w:fldCharType="separate"/>
      </w:r>
      <w:r>
        <w:t>14</w:t>
      </w:r>
      <w:r>
        <w:fldChar w:fldCharType="end"/>
      </w:r>
      <w:r>
        <w:fldChar w:fldCharType="end"/>
      </w:r>
    </w:p>
    <w:p>
      <w:pPr>
        <w:pStyle w:val="5"/>
        <w:tabs>
          <w:tab w:val="right" w:leader="dot" w:pos="8296"/>
        </w:tabs>
        <w:rPr>
          <w:sz w:val="21"/>
          <w:szCs w:val="22"/>
        </w:rPr>
      </w:pPr>
      <w:r>
        <w:fldChar w:fldCharType="begin"/>
      </w:r>
      <w:r>
        <w:instrText xml:space="preserve"> HYPERLINK \l "_Toc503183019" </w:instrText>
      </w:r>
      <w:r>
        <w:fldChar w:fldCharType="separate"/>
      </w:r>
      <w:r>
        <w:rPr>
          <w:rStyle w:val="17"/>
        </w:rPr>
        <w:t>（五）毕业生就业地域分析</w:t>
      </w:r>
      <w:r>
        <w:tab/>
      </w:r>
      <w:r>
        <w:fldChar w:fldCharType="begin"/>
      </w:r>
      <w:r>
        <w:instrText xml:space="preserve"> PAGEREF _Toc503183019 \h </w:instrText>
      </w:r>
      <w:r>
        <w:fldChar w:fldCharType="separate"/>
      </w:r>
      <w:r>
        <w:t>15</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"_Toc503183020" </w:instrText>
      </w:r>
      <w:r>
        <w:fldChar w:fldCharType="separate"/>
      </w:r>
      <w:r>
        <w:rPr>
          <w:rStyle w:val="17"/>
          <w:rFonts w:ascii="宋体" w:hAnsi="宋体" w:eastAsia="宋体" w:cs="宋体"/>
          <w:kern w:val="0"/>
        </w:rPr>
        <w:t>四、2017届毕业生升学情况分析</w:t>
      </w:r>
      <w:r>
        <w:tab/>
      </w:r>
      <w:r>
        <w:fldChar w:fldCharType="begin"/>
      </w:r>
      <w:r>
        <w:instrText xml:space="preserve"> PAGEREF _Toc503183020 \h </w:instrText>
      </w:r>
      <w:r>
        <w:fldChar w:fldCharType="separate"/>
      </w:r>
      <w:r>
        <w:t>15</w:t>
      </w:r>
      <w:r>
        <w:fldChar w:fldCharType="end"/>
      </w:r>
      <w:r>
        <w:fldChar w:fldCharType="end"/>
      </w:r>
    </w:p>
    <w:p>
      <w:pPr>
        <w:pStyle w:val="5"/>
        <w:tabs>
          <w:tab w:val="right" w:leader="dot" w:pos="8296"/>
        </w:tabs>
        <w:rPr>
          <w:sz w:val="21"/>
          <w:szCs w:val="22"/>
        </w:rPr>
      </w:pPr>
      <w:r>
        <w:fldChar w:fldCharType="begin"/>
      </w:r>
      <w:r>
        <w:instrText xml:space="preserve"> HYPERLINK \l "_Toc503183021" </w:instrText>
      </w:r>
      <w:r>
        <w:fldChar w:fldCharType="separate"/>
      </w:r>
      <w:r>
        <w:rPr>
          <w:rStyle w:val="17"/>
        </w:rPr>
        <w:t>（一）分性别升学分布</w:t>
      </w:r>
      <w:r>
        <w:tab/>
      </w:r>
      <w:r>
        <w:fldChar w:fldCharType="begin"/>
      </w:r>
      <w:r>
        <w:instrText xml:space="preserve"> PAGEREF _Toc503183021 \h </w:instrText>
      </w:r>
      <w:r>
        <w:fldChar w:fldCharType="separate"/>
      </w:r>
      <w:r>
        <w:t>15</w:t>
      </w:r>
      <w:r>
        <w:fldChar w:fldCharType="end"/>
      </w:r>
      <w:r>
        <w:fldChar w:fldCharType="end"/>
      </w:r>
    </w:p>
    <w:p>
      <w:pPr>
        <w:pStyle w:val="5"/>
        <w:tabs>
          <w:tab w:val="right" w:leader="dot" w:pos="8296"/>
        </w:tabs>
        <w:rPr>
          <w:sz w:val="21"/>
          <w:szCs w:val="22"/>
        </w:rPr>
      </w:pPr>
      <w:r>
        <w:fldChar w:fldCharType="begin"/>
      </w:r>
      <w:r>
        <w:instrText xml:space="preserve"> HYPERLINK \l "_Toc503183022" </w:instrText>
      </w:r>
      <w:r>
        <w:fldChar w:fldCharType="separate"/>
      </w:r>
      <w:r>
        <w:rPr>
          <w:rStyle w:val="17"/>
        </w:rPr>
        <w:t>（二）分学院和专业升学分布</w:t>
      </w:r>
      <w:r>
        <w:tab/>
      </w:r>
      <w:r>
        <w:fldChar w:fldCharType="begin"/>
      </w:r>
      <w:r>
        <w:instrText xml:space="preserve"> PAGEREF _Toc503183022 \h </w:instrText>
      </w:r>
      <w:r>
        <w:fldChar w:fldCharType="separate"/>
      </w:r>
      <w:r>
        <w:t>16</w:t>
      </w:r>
      <w:r>
        <w:fldChar w:fldCharType="end"/>
      </w:r>
      <w:r>
        <w:fldChar w:fldCharType="end"/>
      </w:r>
    </w:p>
    <w:p>
      <w:pPr>
        <w:pStyle w:val="5"/>
        <w:tabs>
          <w:tab w:val="right" w:leader="dot" w:pos="8296"/>
        </w:tabs>
        <w:rPr>
          <w:sz w:val="21"/>
          <w:szCs w:val="22"/>
        </w:rPr>
      </w:pPr>
      <w:r>
        <w:fldChar w:fldCharType="begin"/>
      </w:r>
      <w:r>
        <w:instrText xml:space="preserve"> HYPERLINK \l "_Toc503183023" </w:instrText>
      </w:r>
      <w:r>
        <w:fldChar w:fldCharType="separate"/>
      </w:r>
      <w:r>
        <w:rPr>
          <w:rStyle w:val="17"/>
        </w:rPr>
        <w:t>（三）升学学校分布</w:t>
      </w:r>
      <w:r>
        <w:tab/>
      </w:r>
      <w:r>
        <w:fldChar w:fldCharType="begin"/>
      </w:r>
      <w:r>
        <w:instrText xml:space="preserve"> PAGEREF _Toc503183023 \h </w:instrText>
      </w:r>
      <w:r>
        <w:fldChar w:fldCharType="separate"/>
      </w:r>
      <w:r>
        <w:t>16</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"_Toc503183024" </w:instrText>
      </w:r>
      <w:r>
        <w:fldChar w:fldCharType="separate"/>
      </w:r>
      <w:r>
        <w:rPr>
          <w:rStyle w:val="17"/>
        </w:rPr>
        <w:t>五、2017届毕业生自主创业情况分布</w:t>
      </w:r>
      <w:r>
        <w:tab/>
      </w:r>
      <w:r>
        <w:fldChar w:fldCharType="begin"/>
      </w:r>
      <w:r>
        <w:instrText xml:space="preserve"> PAGEREF _Toc503183024 \h </w:instrText>
      </w:r>
      <w:r>
        <w:fldChar w:fldCharType="separate"/>
      </w:r>
      <w:r>
        <w:t>17</w:t>
      </w:r>
      <w:r>
        <w:fldChar w:fldCharType="end"/>
      </w:r>
      <w:r>
        <w:fldChar w:fldCharType="end"/>
      </w:r>
    </w:p>
    <w:p>
      <w:pPr>
        <w:pStyle w:val="10"/>
        <w:rPr>
          <w:rFonts w:asciiTheme="minorHAnsi" w:hAnsiTheme="minorHAnsi"/>
          <w:b w:val="0"/>
          <w:bCs w:val="0"/>
          <w:caps w:val="0"/>
          <w:sz w:val="21"/>
          <w:szCs w:val="22"/>
        </w:rPr>
      </w:pPr>
      <w:r>
        <w:fldChar w:fldCharType="begin"/>
      </w:r>
      <w:r>
        <w:instrText xml:space="preserve"> HYPERLINK \l "_Toc503183025" </w:instrText>
      </w:r>
      <w:r>
        <w:fldChar w:fldCharType="separate"/>
      </w:r>
      <w:r>
        <w:rPr>
          <w:rStyle w:val="17"/>
        </w:rPr>
        <w:t>第二章 2015-2017届毕业生就业趋势分析</w:t>
      </w:r>
      <w:r>
        <w:tab/>
      </w:r>
      <w:r>
        <w:fldChar w:fldCharType="begin"/>
      </w:r>
      <w:r>
        <w:instrText xml:space="preserve"> PAGEREF _Toc503183025 \h </w:instrText>
      </w:r>
      <w:r>
        <w:fldChar w:fldCharType="separate"/>
      </w:r>
      <w:r>
        <w:t>18</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"_Toc503183026" </w:instrText>
      </w:r>
      <w:r>
        <w:fldChar w:fldCharType="separate"/>
      </w:r>
      <w:r>
        <w:rPr>
          <w:rStyle w:val="17"/>
        </w:rPr>
        <w:t>一、2015-2017届毕业生规模变化趋势</w:t>
      </w:r>
      <w:r>
        <w:tab/>
      </w:r>
      <w:r>
        <w:fldChar w:fldCharType="begin"/>
      </w:r>
      <w:r>
        <w:instrText xml:space="preserve"> PAGEREF _Toc503183026 \h </w:instrText>
      </w:r>
      <w:r>
        <w:fldChar w:fldCharType="separate"/>
      </w:r>
      <w:r>
        <w:t>18</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"_Toc503183027" </w:instrText>
      </w:r>
      <w:r>
        <w:fldChar w:fldCharType="separate"/>
      </w:r>
      <w:r>
        <w:rPr>
          <w:rStyle w:val="17"/>
          <w:rFonts w:ascii="宋体" w:hAnsi="宋体" w:eastAsia="宋体" w:cs="宋体"/>
          <w:kern w:val="0"/>
        </w:rPr>
        <w:t>二、2015-2017届毕业生就业率变化趋势</w:t>
      </w:r>
      <w:r>
        <w:tab/>
      </w:r>
      <w:r>
        <w:fldChar w:fldCharType="begin"/>
      </w:r>
      <w:r>
        <w:instrText xml:space="preserve"> PAGEREF _Toc503183027 \h </w:instrText>
      </w:r>
      <w:r>
        <w:fldChar w:fldCharType="separate"/>
      </w:r>
      <w:r>
        <w:t>18</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"_Toc503183028" </w:instrText>
      </w:r>
      <w:r>
        <w:fldChar w:fldCharType="separate"/>
      </w:r>
      <w:r>
        <w:rPr>
          <w:rStyle w:val="17"/>
        </w:rPr>
        <w:t>三、2015-2017届各学院毕业生规模与就业率变化趋势</w:t>
      </w:r>
      <w:r>
        <w:tab/>
      </w:r>
      <w:r>
        <w:fldChar w:fldCharType="begin"/>
      </w:r>
      <w:r>
        <w:instrText xml:space="preserve"> PAGEREF _Toc503183028 \h </w:instrText>
      </w:r>
      <w:r>
        <w:fldChar w:fldCharType="separate"/>
      </w:r>
      <w:r>
        <w:t>19</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"_Toc503183029" </w:instrText>
      </w:r>
      <w:r>
        <w:fldChar w:fldCharType="separate"/>
      </w:r>
      <w:r>
        <w:rPr>
          <w:rStyle w:val="17"/>
        </w:rPr>
        <w:t>三、2015-2017届各专业毕业生规模与就业率变化趋势</w:t>
      </w:r>
      <w:r>
        <w:tab/>
      </w:r>
      <w:r>
        <w:fldChar w:fldCharType="begin"/>
      </w:r>
      <w:r>
        <w:instrText xml:space="preserve"> PAGEREF _Toc503183029 \h </w:instrText>
      </w:r>
      <w:r>
        <w:fldChar w:fldCharType="separate"/>
      </w:r>
      <w:r>
        <w:t>19</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"_Toc503183030" </w:instrText>
      </w:r>
      <w:r>
        <w:fldChar w:fldCharType="separate"/>
      </w:r>
      <w:r>
        <w:rPr>
          <w:rStyle w:val="17"/>
          <w:rFonts w:ascii="宋体" w:hAnsi="宋体" w:eastAsia="宋体" w:cs="宋体"/>
          <w:kern w:val="0"/>
        </w:rPr>
        <w:t>四、2015-2017届毕业生就业单位行业变化趋势</w:t>
      </w:r>
      <w:r>
        <w:tab/>
      </w:r>
      <w:r>
        <w:fldChar w:fldCharType="begin"/>
      </w:r>
      <w:r>
        <w:instrText xml:space="preserve"> PAGEREF _Toc503183030 \h </w:instrText>
      </w:r>
      <w:r>
        <w:fldChar w:fldCharType="separate"/>
      </w:r>
      <w:r>
        <w:t>20</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"_Toc503183031" </w:instrText>
      </w:r>
      <w:r>
        <w:fldChar w:fldCharType="separate"/>
      </w:r>
      <w:r>
        <w:rPr>
          <w:rStyle w:val="17"/>
        </w:rPr>
        <w:t>四、2015-2017届毕业生就业地域变化趋势</w:t>
      </w:r>
      <w:r>
        <w:tab/>
      </w:r>
      <w:r>
        <w:fldChar w:fldCharType="begin"/>
      </w:r>
      <w:r>
        <w:instrText xml:space="preserve"> PAGEREF _Toc503183031 \h </w:instrText>
      </w:r>
      <w:r>
        <w:fldChar w:fldCharType="separate"/>
      </w:r>
      <w:r>
        <w:t>21</w:t>
      </w:r>
      <w:r>
        <w:fldChar w:fldCharType="end"/>
      </w:r>
      <w:r>
        <w:fldChar w:fldCharType="end"/>
      </w:r>
    </w:p>
    <w:p>
      <w:pPr>
        <w:pStyle w:val="10"/>
        <w:rPr>
          <w:rFonts w:asciiTheme="minorHAnsi" w:hAnsiTheme="minorHAnsi"/>
          <w:b w:val="0"/>
          <w:bCs w:val="0"/>
          <w:caps w:val="0"/>
          <w:sz w:val="21"/>
          <w:szCs w:val="22"/>
        </w:rPr>
      </w:pPr>
      <w:r>
        <w:fldChar w:fldCharType="begin"/>
      </w:r>
      <w:r>
        <w:instrText xml:space="preserve"> HYPERLINK \l "_Toc503183032" </w:instrText>
      </w:r>
      <w:r>
        <w:fldChar w:fldCharType="separate"/>
      </w:r>
      <w:r>
        <w:rPr>
          <w:rStyle w:val="17"/>
        </w:rPr>
        <w:t>第三章 2017届毕业生就业质量调研分析</w:t>
      </w:r>
      <w:r>
        <w:tab/>
      </w:r>
      <w:r>
        <w:fldChar w:fldCharType="begin"/>
      </w:r>
      <w:r>
        <w:instrText xml:space="preserve"> PAGEREF _Toc503183032 \h </w:instrText>
      </w:r>
      <w:r>
        <w:fldChar w:fldCharType="separate"/>
      </w:r>
      <w:r>
        <w:t>22</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"_Toc503183033" </w:instrText>
      </w:r>
      <w:r>
        <w:fldChar w:fldCharType="separate"/>
      </w:r>
      <w:r>
        <w:rPr>
          <w:rStyle w:val="17"/>
        </w:rPr>
        <w:t>一、2017届毕业生就业状况满意度</w:t>
      </w:r>
      <w:r>
        <w:tab/>
      </w:r>
      <w:r>
        <w:fldChar w:fldCharType="begin"/>
      </w:r>
      <w:r>
        <w:instrText xml:space="preserve"> PAGEREF _Toc503183033 \h </w:instrText>
      </w:r>
      <w:r>
        <w:fldChar w:fldCharType="separate"/>
      </w:r>
      <w:r>
        <w:t>22</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"_Toc503183034" </w:instrText>
      </w:r>
      <w:r>
        <w:fldChar w:fldCharType="separate"/>
      </w:r>
      <w:r>
        <w:rPr>
          <w:rStyle w:val="17"/>
        </w:rPr>
        <w:t>二、2017届毕业生求职途径</w:t>
      </w:r>
      <w:r>
        <w:tab/>
      </w:r>
      <w:r>
        <w:fldChar w:fldCharType="begin"/>
      </w:r>
      <w:r>
        <w:instrText xml:space="preserve"> PAGEREF _Toc503183034 \h </w:instrText>
      </w:r>
      <w:r>
        <w:fldChar w:fldCharType="separate"/>
      </w:r>
      <w:r>
        <w:t>22</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"_Toc503183035" </w:instrText>
      </w:r>
      <w:r>
        <w:fldChar w:fldCharType="separate"/>
      </w:r>
      <w:r>
        <w:rPr>
          <w:rStyle w:val="17"/>
        </w:rPr>
        <w:t>三、2017届毕业生求职影响因素</w:t>
      </w:r>
      <w:r>
        <w:tab/>
      </w:r>
      <w:r>
        <w:fldChar w:fldCharType="begin"/>
      </w:r>
      <w:r>
        <w:instrText xml:space="preserve"> PAGEREF _Toc503183035 \h </w:instrText>
      </w:r>
      <w:r>
        <w:fldChar w:fldCharType="separate"/>
      </w:r>
      <w:r>
        <w:t>23</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"_Toc503183036" </w:instrText>
      </w:r>
      <w:r>
        <w:fldChar w:fldCharType="separate"/>
      </w:r>
      <w:r>
        <w:rPr>
          <w:rStyle w:val="17"/>
        </w:rPr>
        <w:t>四、2017届毕业生薪资水平及满意度</w:t>
      </w:r>
      <w:r>
        <w:tab/>
      </w:r>
      <w:r>
        <w:fldChar w:fldCharType="begin"/>
      </w:r>
      <w:r>
        <w:instrText xml:space="preserve"> PAGEREF _Toc503183036 \h </w:instrText>
      </w:r>
      <w:r>
        <w:fldChar w:fldCharType="separate"/>
      </w:r>
      <w:r>
        <w:t>24</w:t>
      </w:r>
      <w:r>
        <w:fldChar w:fldCharType="end"/>
      </w:r>
      <w:r>
        <w:fldChar w:fldCharType="end"/>
      </w:r>
    </w:p>
    <w:p>
      <w:pPr>
        <w:pStyle w:val="5"/>
        <w:tabs>
          <w:tab w:val="right" w:leader="dot" w:pos="8296"/>
        </w:tabs>
        <w:rPr>
          <w:sz w:val="21"/>
          <w:szCs w:val="22"/>
        </w:rPr>
      </w:pPr>
      <w:r>
        <w:fldChar w:fldCharType="begin"/>
      </w:r>
      <w:r>
        <w:instrText xml:space="preserve"> HYPERLINK \l "_Toc503183037" </w:instrText>
      </w:r>
      <w:r>
        <w:fldChar w:fldCharType="separate"/>
      </w:r>
      <w:r>
        <w:rPr>
          <w:rStyle w:val="17"/>
        </w:rPr>
        <w:t>（一）总体薪资水平及满意度</w:t>
      </w:r>
      <w:r>
        <w:tab/>
      </w:r>
      <w:r>
        <w:fldChar w:fldCharType="begin"/>
      </w:r>
      <w:r>
        <w:instrText xml:space="preserve"> PAGEREF _Toc503183037 \h </w:instrText>
      </w:r>
      <w:r>
        <w:fldChar w:fldCharType="separate"/>
      </w:r>
      <w:r>
        <w:t>24</w:t>
      </w:r>
      <w:r>
        <w:fldChar w:fldCharType="end"/>
      </w:r>
      <w:r>
        <w:fldChar w:fldCharType="end"/>
      </w:r>
    </w:p>
    <w:p>
      <w:pPr>
        <w:pStyle w:val="5"/>
        <w:tabs>
          <w:tab w:val="right" w:leader="dot" w:pos="8296"/>
        </w:tabs>
        <w:rPr>
          <w:sz w:val="21"/>
          <w:szCs w:val="22"/>
        </w:rPr>
      </w:pPr>
      <w:r>
        <w:fldChar w:fldCharType="begin"/>
      </w:r>
      <w:r>
        <w:instrText xml:space="preserve"> HYPERLINK \l "_Toc503183038" </w:instrText>
      </w:r>
      <w:r>
        <w:fldChar w:fldCharType="separate"/>
      </w:r>
      <w:r>
        <w:rPr>
          <w:rStyle w:val="17"/>
        </w:rPr>
        <w:t>（二）分专业薪资水平及满意度</w:t>
      </w:r>
      <w:r>
        <w:tab/>
      </w:r>
      <w:r>
        <w:fldChar w:fldCharType="begin"/>
      </w:r>
      <w:r>
        <w:instrText xml:space="preserve"> PAGEREF _Toc503183038 \h </w:instrText>
      </w:r>
      <w:r>
        <w:fldChar w:fldCharType="separate"/>
      </w:r>
      <w:r>
        <w:t>25</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"_Toc503183039" </w:instrText>
      </w:r>
      <w:r>
        <w:fldChar w:fldCharType="separate"/>
      </w:r>
      <w:r>
        <w:rPr>
          <w:rStyle w:val="17"/>
        </w:rPr>
        <w:t>五、2017届毕业生工作与专业相关度</w:t>
      </w:r>
      <w:r>
        <w:tab/>
      </w:r>
      <w:r>
        <w:fldChar w:fldCharType="begin"/>
      </w:r>
      <w:r>
        <w:instrText xml:space="preserve"> PAGEREF _Toc503183039 \h </w:instrText>
      </w:r>
      <w:r>
        <w:fldChar w:fldCharType="separate"/>
      </w:r>
      <w:r>
        <w:t>26</w:t>
      </w:r>
      <w:r>
        <w:fldChar w:fldCharType="end"/>
      </w:r>
      <w:r>
        <w:fldChar w:fldCharType="end"/>
      </w:r>
    </w:p>
    <w:p>
      <w:pPr>
        <w:pStyle w:val="5"/>
        <w:tabs>
          <w:tab w:val="right" w:leader="dot" w:pos="8296"/>
        </w:tabs>
        <w:rPr>
          <w:sz w:val="21"/>
          <w:szCs w:val="22"/>
        </w:rPr>
      </w:pPr>
      <w:r>
        <w:fldChar w:fldCharType="begin"/>
      </w:r>
      <w:r>
        <w:instrText xml:space="preserve"> HYPERLINK \l "_Toc503183040" </w:instrText>
      </w:r>
      <w:r>
        <w:fldChar w:fldCharType="separate"/>
      </w:r>
      <w:r>
        <w:rPr>
          <w:rStyle w:val="17"/>
        </w:rPr>
        <w:t>（一）毕业生总体工作与专业相关性</w:t>
      </w:r>
      <w:r>
        <w:tab/>
      </w:r>
      <w:r>
        <w:fldChar w:fldCharType="begin"/>
      </w:r>
      <w:r>
        <w:instrText xml:space="preserve"> PAGEREF _Toc503183040 \h </w:instrText>
      </w:r>
      <w:r>
        <w:fldChar w:fldCharType="separate"/>
      </w:r>
      <w:r>
        <w:t>26</w:t>
      </w:r>
      <w:r>
        <w:fldChar w:fldCharType="end"/>
      </w:r>
      <w:r>
        <w:fldChar w:fldCharType="end"/>
      </w:r>
    </w:p>
    <w:p>
      <w:pPr>
        <w:pStyle w:val="5"/>
        <w:tabs>
          <w:tab w:val="right" w:leader="dot" w:pos="8296"/>
        </w:tabs>
        <w:rPr>
          <w:sz w:val="21"/>
          <w:szCs w:val="22"/>
        </w:rPr>
      </w:pPr>
      <w:r>
        <w:fldChar w:fldCharType="begin"/>
      </w:r>
      <w:r>
        <w:instrText xml:space="preserve"> HYPERLINK \l "_Toc503183041" </w:instrText>
      </w:r>
      <w:r>
        <w:fldChar w:fldCharType="separate"/>
      </w:r>
      <w:r>
        <w:rPr>
          <w:rStyle w:val="17"/>
        </w:rPr>
        <w:t>（二）分专业毕业生工作与专业相关性</w:t>
      </w:r>
      <w:r>
        <w:tab/>
      </w:r>
      <w:r>
        <w:fldChar w:fldCharType="begin"/>
      </w:r>
      <w:r>
        <w:instrText xml:space="preserve"> PAGEREF _Toc503183041 \h </w:instrText>
      </w:r>
      <w:r>
        <w:fldChar w:fldCharType="separate"/>
      </w:r>
      <w:r>
        <w:t>27</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"_Toc503183042" </w:instrText>
      </w:r>
      <w:r>
        <w:fldChar w:fldCharType="separate"/>
      </w:r>
      <w:r>
        <w:rPr>
          <w:rStyle w:val="17"/>
        </w:rPr>
        <w:t>六、2017届毕业生工作与理想一致性</w:t>
      </w:r>
      <w:r>
        <w:tab/>
      </w:r>
      <w:r>
        <w:fldChar w:fldCharType="begin"/>
      </w:r>
      <w:r>
        <w:instrText xml:space="preserve"> PAGEREF _Toc503183042 \h </w:instrText>
      </w:r>
      <w:r>
        <w:fldChar w:fldCharType="separate"/>
      </w:r>
      <w:r>
        <w:t>28</w:t>
      </w:r>
      <w:r>
        <w:fldChar w:fldCharType="end"/>
      </w:r>
      <w:r>
        <w:fldChar w:fldCharType="end"/>
      </w:r>
    </w:p>
    <w:p>
      <w:pPr>
        <w:pStyle w:val="5"/>
        <w:tabs>
          <w:tab w:val="right" w:leader="dot" w:pos="8296"/>
        </w:tabs>
        <w:rPr>
          <w:sz w:val="21"/>
          <w:szCs w:val="22"/>
        </w:rPr>
      </w:pPr>
      <w:r>
        <w:fldChar w:fldCharType="begin"/>
      </w:r>
      <w:r>
        <w:instrText xml:space="preserve"> HYPERLINK \l "_Toc503183043" </w:instrText>
      </w:r>
      <w:r>
        <w:fldChar w:fldCharType="separate"/>
      </w:r>
      <w:r>
        <w:rPr>
          <w:rStyle w:val="17"/>
        </w:rPr>
        <w:t>（一）毕业生总体工作与理想一致性</w:t>
      </w:r>
      <w:r>
        <w:tab/>
      </w:r>
      <w:r>
        <w:fldChar w:fldCharType="begin"/>
      </w:r>
      <w:r>
        <w:instrText xml:space="preserve"> PAGEREF _Toc503183043 \h </w:instrText>
      </w:r>
      <w:r>
        <w:fldChar w:fldCharType="separate"/>
      </w:r>
      <w:r>
        <w:t>28</w:t>
      </w:r>
      <w:r>
        <w:fldChar w:fldCharType="end"/>
      </w:r>
      <w:r>
        <w:fldChar w:fldCharType="end"/>
      </w:r>
    </w:p>
    <w:p>
      <w:pPr>
        <w:pStyle w:val="5"/>
        <w:tabs>
          <w:tab w:val="right" w:leader="dot" w:pos="8296"/>
        </w:tabs>
        <w:rPr>
          <w:sz w:val="21"/>
          <w:szCs w:val="22"/>
        </w:rPr>
      </w:pPr>
      <w:r>
        <w:fldChar w:fldCharType="begin"/>
      </w:r>
      <w:r>
        <w:instrText xml:space="preserve"> HYPERLINK \l "_Toc503183044" </w:instrText>
      </w:r>
      <w:r>
        <w:fldChar w:fldCharType="separate"/>
      </w:r>
      <w:r>
        <w:rPr>
          <w:rStyle w:val="17"/>
        </w:rPr>
        <w:t>（二）分专业毕业生工作与理想一致性</w:t>
      </w:r>
      <w:r>
        <w:tab/>
      </w:r>
      <w:r>
        <w:fldChar w:fldCharType="begin"/>
      </w:r>
      <w:r>
        <w:instrText xml:space="preserve"> PAGEREF _Toc503183044 \h </w:instrText>
      </w:r>
      <w:r>
        <w:fldChar w:fldCharType="separate"/>
      </w:r>
      <w:r>
        <w:t>28</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"_Toc503183045" </w:instrText>
      </w:r>
      <w:r>
        <w:fldChar w:fldCharType="separate"/>
      </w:r>
      <w:r>
        <w:rPr>
          <w:rStyle w:val="17"/>
        </w:rPr>
        <w:t>七、2017届毕业生工作稳定性</w:t>
      </w:r>
      <w:r>
        <w:tab/>
      </w:r>
      <w:r>
        <w:fldChar w:fldCharType="begin"/>
      </w:r>
      <w:r>
        <w:instrText xml:space="preserve"> PAGEREF _Toc503183045 \h </w:instrText>
      </w:r>
      <w:r>
        <w:fldChar w:fldCharType="separate"/>
      </w:r>
      <w:r>
        <w:t>29</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"_Toc503183046" </w:instrText>
      </w:r>
      <w:r>
        <w:fldChar w:fldCharType="separate"/>
      </w:r>
      <w:r>
        <w:rPr>
          <w:rStyle w:val="17"/>
        </w:rPr>
        <w:t>八、2017届毕业生其他方面满意度</w:t>
      </w:r>
      <w:r>
        <w:tab/>
      </w:r>
      <w:r>
        <w:fldChar w:fldCharType="begin"/>
      </w:r>
      <w:r>
        <w:instrText xml:space="preserve"> PAGEREF _Toc503183046 \h </w:instrText>
      </w:r>
      <w:r>
        <w:fldChar w:fldCharType="separate"/>
      </w:r>
      <w:r>
        <w:t>30</w:t>
      </w:r>
      <w:r>
        <w:fldChar w:fldCharType="end"/>
      </w:r>
      <w:r>
        <w:fldChar w:fldCharType="end"/>
      </w:r>
    </w:p>
    <w:p>
      <w:pPr>
        <w:pStyle w:val="10"/>
        <w:rPr>
          <w:rFonts w:asciiTheme="minorHAnsi" w:hAnsiTheme="minorHAnsi"/>
          <w:b w:val="0"/>
          <w:bCs w:val="0"/>
          <w:caps w:val="0"/>
          <w:sz w:val="21"/>
          <w:szCs w:val="22"/>
        </w:rPr>
      </w:pPr>
      <w:r>
        <w:fldChar w:fldCharType="begin"/>
      </w:r>
      <w:r>
        <w:instrText xml:space="preserve"> HYPERLINK \l "_Toc503183047" </w:instrText>
      </w:r>
      <w:r>
        <w:fldChar w:fldCharType="separate"/>
      </w:r>
      <w:r>
        <w:rPr>
          <w:rStyle w:val="17"/>
        </w:rPr>
        <w:t>第四章 2017届毕业生就业专项分析</w:t>
      </w:r>
      <w:r>
        <w:tab/>
      </w:r>
      <w:r>
        <w:fldChar w:fldCharType="begin"/>
      </w:r>
      <w:r>
        <w:instrText xml:space="preserve"> PAGEREF _Toc503183047 \h </w:instrText>
      </w:r>
      <w:r>
        <w:fldChar w:fldCharType="separate"/>
      </w:r>
      <w:r>
        <w:t>31</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"_Toc503183048" </w:instrText>
      </w:r>
      <w:r>
        <w:fldChar w:fldCharType="separate"/>
      </w:r>
      <w:r>
        <w:rPr>
          <w:rStyle w:val="17"/>
        </w:rPr>
        <w:t>一、2017届毕业生自主创业分析</w:t>
      </w:r>
      <w:r>
        <w:tab/>
      </w:r>
      <w:r>
        <w:fldChar w:fldCharType="begin"/>
      </w:r>
      <w:r>
        <w:instrText xml:space="preserve"> PAGEREF _Toc503183048 \h </w:instrText>
      </w:r>
      <w:r>
        <w:fldChar w:fldCharType="separate"/>
      </w:r>
      <w:r>
        <w:t>31</w:t>
      </w:r>
      <w:r>
        <w:fldChar w:fldCharType="end"/>
      </w:r>
      <w:r>
        <w:fldChar w:fldCharType="end"/>
      </w:r>
    </w:p>
    <w:p>
      <w:pPr>
        <w:pStyle w:val="5"/>
        <w:tabs>
          <w:tab w:val="right" w:leader="dot" w:pos="8296"/>
        </w:tabs>
        <w:rPr>
          <w:sz w:val="21"/>
          <w:szCs w:val="22"/>
        </w:rPr>
      </w:pPr>
      <w:r>
        <w:fldChar w:fldCharType="begin"/>
      </w:r>
      <w:r>
        <w:instrText xml:space="preserve"> HYPERLINK \l "_Toc503183049" </w:instrText>
      </w:r>
      <w:r>
        <w:fldChar w:fldCharType="separate"/>
      </w:r>
      <w:r>
        <w:rPr>
          <w:rStyle w:val="17"/>
        </w:rPr>
        <w:t>（一）毕业生自主创业原因</w:t>
      </w:r>
      <w:r>
        <w:tab/>
      </w:r>
      <w:r>
        <w:fldChar w:fldCharType="begin"/>
      </w:r>
      <w:r>
        <w:instrText xml:space="preserve"> PAGEREF _Toc503183049 \h </w:instrText>
      </w:r>
      <w:r>
        <w:fldChar w:fldCharType="separate"/>
      </w:r>
      <w:r>
        <w:t>31</w:t>
      </w:r>
      <w:r>
        <w:fldChar w:fldCharType="end"/>
      </w:r>
      <w:r>
        <w:fldChar w:fldCharType="end"/>
      </w:r>
    </w:p>
    <w:p>
      <w:pPr>
        <w:pStyle w:val="5"/>
        <w:tabs>
          <w:tab w:val="right" w:leader="dot" w:pos="8296"/>
        </w:tabs>
        <w:rPr>
          <w:sz w:val="21"/>
          <w:szCs w:val="22"/>
        </w:rPr>
      </w:pPr>
      <w:r>
        <w:fldChar w:fldCharType="begin"/>
      </w:r>
      <w:r>
        <w:instrText xml:space="preserve"> HYPERLINK \l "_Toc503183050" </w:instrText>
      </w:r>
      <w:r>
        <w:fldChar w:fldCharType="separate"/>
      </w:r>
      <w:r>
        <w:rPr>
          <w:rStyle w:val="17"/>
        </w:rPr>
        <w:t>（二）毕业生自主创业资金来源</w:t>
      </w:r>
      <w:r>
        <w:tab/>
      </w:r>
      <w:r>
        <w:fldChar w:fldCharType="begin"/>
      </w:r>
      <w:r>
        <w:instrText xml:space="preserve"> PAGEREF _Toc503183050 \h </w:instrText>
      </w:r>
      <w:r>
        <w:fldChar w:fldCharType="separate"/>
      </w:r>
      <w:r>
        <w:t>31</w:t>
      </w:r>
      <w:r>
        <w:fldChar w:fldCharType="end"/>
      </w:r>
      <w:r>
        <w:fldChar w:fldCharType="end"/>
      </w:r>
    </w:p>
    <w:p>
      <w:pPr>
        <w:pStyle w:val="5"/>
        <w:tabs>
          <w:tab w:val="right" w:leader="dot" w:pos="8296"/>
        </w:tabs>
        <w:rPr>
          <w:sz w:val="21"/>
          <w:szCs w:val="22"/>
        </w:rPr>
      </w:pPr>
      <w:r>
        <w:fldChar w:fldCharType="begin"/>
      </w:r>
      <w:r>
        <w:instrText xml:space="preserve"> HYPERLINK \l "_Toc503183051" </w:instrText>
      </w:r>
      <w:r>
        <w:fldChar w:fldCharType="separate"/>
      </w:r>
      <w:r>
        <w:rPr>
          <w:rStyle w:val="17"/>
        </w:rPr>
        <w:t>（三）毕业生自主创业遇到困难</w:t>
      </w:r>
      <w:r>
        <w:tab/>
      </w:r>
      <w:r>
        <w:fldChar w:fldCharType="begin"/>
      </w:r>
      <w:r>
        <w:instrText xml:space="preserve"> PAGEREF _Toc503183051 \h </w:instrText>
      </w:r>
      <w:r>
        <w:fldChar w:fldCharType="separate"/>
      </w:r>
      <w:r>
        <w:t>32</w:t>
      </w:r>
      <w:r>
        <w:fldChar w:fldCharType="end"/>
      </w:r>
      <w:r>
        <w:fldChar w:fldCharType="end"/>
      </w:r>
    </w:p>
    <w:p>
      <w:pPr>
        <w:pStyle w:val="5"/>
        <w:tabs>
          <w:tab w:val="right" w:leader="dot" w:pos="8296"/>
        </w:tabs>
        <w:rPr>
          <w:sz w:val="21"/>
          <w:szCs w:val="22"/>
        </w:rPr>
      </w:pPr>
      <w:r>
        <w:fldChar w:fldCharType="begin"/>
      </w:r>
      <w:r>
        <w:instrText xml:space="preserve"> HYPERLINK \l "_Toc503183052" </w:instrText>
      </w:r>
      <w:r>
        <w:fldChar w:fldCharType="separate"/>
      </w:r>
      <w:r>
        <w:rPr>
          <w:rStyle w:val="17"/>
        </w:rPr>
        <w:t>（四）毕业生自主创业前准备</w:t>
      </w:r>
      <w:r>
        <w:tab/>
      </w:r>
      <w:r>
        <w:fldChar w:fldCharType="begin"/>
      </w:r>
      <w:r>
        <w:instrText xml:space="preserve"> PAGEREF _Toc503183052 \h </w:instrText>
      </w:r>
      <w:r>
        <w:fldChar w:fldCharType="separate"/>
      </w:r>
      <w:r>
        <w:t>32</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"_Toc503183053" </w:instrText>
      </w:r>
      <w:r>
        <w:fldChar w:fldCharType="separate"/>
      </w:r>
      <w:r>
        <w:rPr>
          <w:rStyle w:val="17"/>
        </w:rPr>
        <w:t>二、继续深造与出国分析</w:t>
      </w:r>
      <w:r>
        <w:tab/>
      </w:r>
      <w:r>
        <w:fldChar w:fldCharType="begin"/>
      </w:r>
      <w:r>
        <w:instrText xml:space="preserve"> PAGEREF _Toc503183053 \h </w:instrText>
      </w:r>
      <w:r>
        <w:fldChar w:fldCharType="separate"/>
      </w:r>
      <w:r>
        <w:t>33</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"_Toc503183054" </w:instrText>
      </w:r>
      <w:r>
        <w:fldChar w:fldCharType="separate"/>
      </w:r>
      <w:r>
        <w:rPr>
          <w:rStyle w:val="17"/>
        </w:rPr>
        <w:t>三、2017届待就业毕业生调研分析</w:t>
      </w:r>
      <w:r>
        <w:tab/>
      </w:r>
      <w:r>
        <w:fldChar w:fldCharType="begin"/>
      </w:r>
      <w:r>
        <w:instrText xml:space="preserve"> PAGEREF _Toc503183054 \h </w:instrText>
      </w:r>
      <w:r>
        <w:fldChar w:fldCharType="separate"/>
      </w:r>
      <w:r>
        <w:t>33</w:t>
      </w:r>
      <w:r>
        <w:fldChar w:fldCharType="end"/>
      </w:r>
      <w:r>
        <w:fldChar w:fldCharType="end"/>
      </w:r>
    </w:p>
    <w:p>
      <w:pPr>
        <w:pStyle w:val="5"/>
        <w:tabs>
          <w:tab w:val="right" w:leader="dot" w:pos="8296"/>
        </w:tabs>
        <w:rPr>
          <w:sz w:val="21"/>
          <w:szCs w:val="22"/>
        </w:rPr>
      </w:pPr>
      <w:r>
        <w:fldChar w:fldCharType="begin"/>
      </w:r>
      <w:r>
        <w:instrText xml:space="preserve"> HYPERLINK \l "_Toc503183055" </w:instrText>
      </w:r>
      <w:r>
        <w:fldChar w:fldCharType="separate"/>
      </w:r>
      <w:r>
        <w:rPr>
          <w:rStyle w:val="17"/>
        </w:rPr>
        <w:t>（一）毕业生尚未就业的原因</w:t>
      </w:r>
      <w:r>
        <w:tab/>
      </w:r>
      <w:r>
        <w:fldChar w:fldCharType="begin"/>
      </w:r>
      <w:r>
        <w:instrText xml:space="preserve"> PAGEREF _Toc503183055 \h </w:instrText>
      </w:r>
      <w:r>
        <w:fldChar w:fldCharType="separate"/>
      </w:r>
      <w:r>
        <w:t>33</w:t>
      </w:r>
      <w:r>
        <w:fldChar w:fldCharType="end"/>
      </w:r>
      <w:r>
        <w:fldChar w:fldCharType="end"/>
      </w:r>
    </w:p>
    <w:p>
      <w:pPr>
        <w:pStyle w:val="5"/>
        <w:tabs>
          <w:tab w:val="right" w:leader="dot" w:pos="8296"/>
        </w:tabs>
        <w:rPr>
          <w:sz w:val="21"/>
          <w:szCs w:val="22"/>
        </w:rPr>
      </w:pPr>
      <w:r>
        <w:fldChar w:fldCharType="begin"/>
      </w:r>
      <w:r>
        <w:instrText xml:space="preserve"> HYPERLINK \l "_Toc503183056" </w:instrText>
      </w:r>
      <w:r>
        <w:fldChar w:fldCharType="separate"/>
      </w:r>
      <w:r>
        <w:rPr>
          <w:rStyle w:val="17"/>
        </w:rPr>
        <w:t>（二）待就业毕业生求职关注因素</w:t>
      </w:r>
      <w:r>
        <w:tab/>
      </w:r>
      <w:r>
        <w:fldChar w:fldCharType="begin"/>
      </w:r>
      <w:r>
        <w:instrText xml:space="preserve"> PAGEREF _Toc503183056 \h </w:instrText>
      </w:r>
      <w:r>
        <w:fldChar w:fldCharType="separate"/>
      </w:r>
      <w:r>
        <w:t>34</w:t>
      </w:r>
      <w:r>
        <w:fldChar w:fldCharType="end"/>
      </w:r>
      <w:r>
        <w:fldChar w:fldCharType="end"/>
      </w:r>
    </w:p>
    <w:p>
      <w:pPr>
        <w:pStyle w:val="5"/>
        <w:tabs>
          <w:tab w:val="right" w:leader="dot" w:pos="8296"/>
        </w:tabs>
        <w:rPr>
          <w:sz w:val="21"/>
          <w:szCs w:val="22"/>
        </w:rPr>
      </w:pPr>
      <w:r>
        <w:fldChar w:fldCharType="begin"/>
      </w:r>
      <w:r>
        <w:instrText xml:space="preserve"> HYPERLINK \l "_Toc503183057" </w:instrText>
      </w:r>
      <w:r>
        <w:fldChar w:fldCharType="separate"/>
      </w:r>
      <w:r>
        <w:rPr>
          <w:rStyle w:val="17"/>
        </w:rPr>
        <w:t>（三）待就业毕业生参加的面试次数</w:t>
      </w:r>
      <w:r>
        <w:tab/>
      </w:r>
      <w:r>
        <w:fldChar w:fldCharType="begin"/>
      </w:r>
      <w:r>
        <w:instrText xml:space="preserve"> PAGEREF _Toc503183057 \h </w:instrText>
      </w:r>
      <w:r>
        <w:fldChar w:fldCharType="separate"/>
      </w:r>
      <w:r>
        <w:t>34</w:t>
      </w:r>
      <w:r>
        <w:fldChar w:fldCharType="end"/>
      </w:r>
      <w:r>
        <w:fldChar w:fldCharType="end"/>
      </w:r>
    </w:p>
    <w:p>
      <w:pPr>
        <w:pStyle w:val="5"/>
        <w:tabs>
          <w:tab w:val="right" w:leader="dot" w:pos="8296"/>
        </w:tabs>
        <w:rPr>
          <w:sz w:val="21"/>
          <w:szCs w:val="22"/>
        </w:rPr>
      </w:pPr>
      <w:r>
        <w:fldChar w:fldCharType="begin"/>
      </w:r>
      <w:r>
        <w:instrText xml:space="preserve"> HYPERLINK \l "_Toc503183058" </w:instrText>
      </w:r>
      <w:r>
        <w:fldChar w:fldCharType="separate"/>
      </w:r>
      <w:r>
        <w:rPr>
          <w:rStyle w:val="17"/>
        </w:rPr>
        <w:t>（四）待就业毕业生求职过程中遇到的问题</w:t>
      </w:r>
      <w:r>
        <w:tab/>
      </w:r>
      <w:r>
        <w:fldChar w:fldCharType="begin"/>
      </w:r>
      <w:r>
        <w:instrText xml:space="preserve"> PAGEREF _Toc503183058 \h </w:instrText>
      </w:r>
      <w:r>
        <w:fldChar w:fldCharType="separate"/>
      </w:r>
      <w:r>
        <w:t>35</w:t>
      </w:r>
      <w:r>
        <w:fldChar w:fldCharType="end"/>
      </w:r>
      <w:r>
        <w:fldChar w:fldCharType="end"/>
      </w:r>
    </w:p>
    <w:p>
      <w:pPr>
        <w:pStyle w:val="5"/>
        <w:tabs>
          <w:tab w:val="right" w:leader="dot" w:pos="8296"/>
        </w:tabs>
        <w:rPr>
          <w:sz w:val="21"/>
          <w:szCs w:val="22"/>
        </w:rPr>
      </w:pPr>
      <w:r>
        <w:fldChar w:fldCharType="begin"/>
      </w:r>
      <w:r>
        <w:instrText xml:space="preserve"> HYPERLINK \l "_Toc503183059" </w:instrText>
      </w:r>
      <w:r>
        <w:fldChar w:fldCharType="separate"/>
      </w:r>
      <w:r>
        <w:rPr>
          <w:rStyle w:val="17"/>
        </w:rPr>
        <w:t>（五）待就业毕业生希望获得的帮助</w:t>
      </w:r>
      <w:r>
        <w:tab/>
      </w:r>
      <w:r>
        <w:fldChar w:fldCharType="begin"/>
      </w:r>
      <w:r>
        <w:instrText xml:space="preserve"> PAGEREF _Toc503183059 \h </w:instrText>
      </w:r>
      <w:r>
        <w:fldChar w:fldCharType="separate"/>
      </w:r>
      <w:r>
        <w:t>36</w:t>
      </w:r>
      <w:r>
        <w:fldChar w:fldCharType="end"/>
      </w:r>
      <w:r>
        <w:fldChar w:fldCharType="end"/>
      </w:r>
    </w:p>
    <w:p>
      <w:pPr>
        <w:pStyle w:val="10"/>
        <w:rPr>
          <w:rFonts w:asciiTheme="minorHAnsi" w:hAnsiTheme="minorHAnsi"/>
          <w:b w:val="0"/>
          <w:bCs w:val="0"/>
          <w:caps w:val="0"/>
          <w:sz w:val="21"/>
          <w:szCs w:val="22"/>
        </w:rPr>
      </w:pPr>
      <w:r>
        <w:fldChar w:fldCharType="begin"/>
      </w:r>
      <w:r>
        <w:instrText xml:space="preserve"> HYPERLINK \l "_Toc503183060" </w:instrText>
      </w:r>
      <w:r>
        <w:fldChar w:fldCharType="separate"/>
      </w:r>
      <w:r>
        <w:rPr>
          <w:rStyle w:val="17"/>
        </w:rPr>
        <w:t>第五章 2017届毕业生对母校教育教学的评价</w:t>
      </w:r>
      <w:r>
        <w:rPr>
          <w:b w:val="0"/>
          <w:bCs w:val="0"/>
        </w:rPr>
        <w:tab/>
      </w:r>
      <w:r>
        <w:rPr>
          <w:b w:val="0"/>
          <w:bCs w:val="0"/>
        </w:rPr>
        <w:fldChar w:fldCharType="begin"/>
      </w:r>
      <w:r>
        <w:rPr>
          <w:b w:val="0"/>
          <w:bCs w:val="0"/>
        </w:rPr>
        <w:instrText xml:space="preserve"> PAGEREF _Toc503183060 \h </w:instrText>
      </w:r>
      <w:r>
        <w:rPr>
          <w:b w:val="0"/>
          <w:bCs w:val="0"/>
        </w:rPr>
        <w:fldChar w:fldCharType="separate"/>
      </w:r>
      <w:r>
        <w:rPr>
          <w:b w:val="0"/>
          <w:bCs w:val="0"/>
        </w:rPr>
        <w:t>37</w:t>
      </w:r>
      <w:r>
        <w:rPr>
          <w:b w:val="0"/>
          <w:bCs w:val="0"/>
        </w:rP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"_Toc503183061" </w:instrText>
      </w:r>
      <w:r>
        <w:fldChar w:fldCharType="separate"/>
      </w:r>
      <w:r>
        <w:rPr>
          <w:rStyle w:val="17"/>
        </w:rPr>
        <w:t>一、2017届毕业生对母校的满意度和推荐度</w:t>
      </w:r>
      <w:r>
        <w:tab/>
      </w:r>
      <w:r>
        <w:fldChar w:fldCharType="begin"/>
      </w:r>
      <w:r>
        <w:instrText xml:space="preserve"> PAGEREF _Toc503183061 \h </w:instrText>
      </w:r>
      <w:r>
        <w:fldChar w:fldCharType="separate"/>
      </w:r>
      <w:r>
        <w:t>37</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"_Toc503183062" </w:instrText>
      </w:r>
      <w:r>
        <w:fldChar w:fldCharType="separate"/>
      </w:r>
      <w:r>
        <w:rPr>
          <w:rStyle w:val="17"/>
        </w:rPr>
        <w:t>二、2017届毕业生对母校教育教学方面的评价及反馈</w:t>
      </w:r>
      <w:r>
        <w:tab/>
      </w:r>
      <w:r>
        <w:fldChar w:fldCharType="begin"/>
      </w:r>
      <w:r>
        <w:instrText xml:space="preserve"> PAGEREF _Toc503183062 \h </w:instrText>
      </w:r>
      <w:r>
        <w:fldChar w:fldCharType="separate"/>
      </w:r>
      <w:r>
        <w:t>37</w:t>
      </w:r>
      <w:r>
        <w:fldChar w:fldCharType="end"/>
      </w:r>
      <w:r>
        <w:fldChar w:fldCharType="end"/>
      </w:r>
    </w:p>
    <w:p>
      <w:pPr>
        <w:pStyle w:val="5"/>
        <w:tabs>
          <w:tab w:val="right" w:leader="dot" w:pos="8296"/>
        </w:tabs>
        <w:rPr>
          <w:sz w:val="21"/>
          <w:szCs w:val="22"/>
        </w:rPr>
      </w:pPr>
      <w:r>
        <w:fldChar w:fldCharType="begin"/>
      </w:r>
      <w:r>
        <w:instrText xml:space="preserve"> HYPERLINK \l "_Toc503183063" </w:instrText>
      </w:r>
      <w:r>
        <w:fldChar w:fldCharType="separate"/>
      </w:r>
      <w:r>
        <w:rPr>
          <w:rStyle w:val="17"/>
        </w:rPr>
        <w:t>（一）毕业生对母校教育教学评价</w:t>
      </w:r>
      <w:r>
        <w:tab/>
      </w:r>
      <w:r>
        <w:fldChar w:fldCharType="begin"/>
      </w:r>
      <w:r>
        <w:instrText xml:space="preserve"> PAGEREF _Toc503183063 \h </w:instrText>
      </w:r>
      <w:r>
        <w:fldChar w:fldCharType="separate"/>
      </w:r>
      <w:r>
        <w:t>37</w:t>
      </w:r>
      <w:r>
        <w:fldChar w:fldCharType="end"/>
      </w:r>
      <w:r>
        <w:fldChar w:fldCharType="end"/>
      </w:r>
    </w:p>
    <w:p>
      <w:pPr>
        <w:pStyle w:val="5"/>
        <w:tabs>
          <w:tab w:val="right" w:leader="dot" w:pos="8296"/>
        </w:tabs>
        <w:rPr>
          <w:sz w:val="21"/>
          <w:szCs w:val="22"/>
        </w:rPr>
      </w:pPr>
      <w:r>
        <w:fldChar w:fldCharType="begin"/>
      </w:r>
      <w:r>
        <w:instrText xml:space="preserve"> HYPERLINK \l "_Toc503183064" </w:instrText>
      </w:r>
      <w:r>
        <w:fldChar w:fldCharType="separate"/>
      </w:r>
      <w:r>
        <w:rPr>
          <w:rStyle w:val="17"/>
        </w:rPr>
        <w:t>（二）毕业生对母校教育教学方面反馈</w:t>
      </w:r>
      <w:r>
        <w:tab/>
      </w:r>
      <w:r>
        <w:fldChar w:fldCharType="begin"/>
      </w:r>
      <w:r>
        <w:instrText xml:space="preserve"> PAGEREF _Toc503183064 \h </w:instrText>
      </w:r>
      <w:r>
        <w:fldChar w:fldCharType="separate"/>
      </w:r>
      <w:r>
        <w:t>38</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"_Toc503183065" </w:instrText>
      </w:r>
      <w:r>
        <w:fldChar w:fldCharType="separate"/>
      </w:r>
      <w:r>
        <w:rPr>
          <w:rStyle w:val="17"/>
        </w:rPr>
        <w:t>二、2017届毕业生对母校就业服务方面的评价及反馈</w:t>
      </w:r>
      <w:r>
        <w:tab/>
      </w:r>
      <w:r>
        <w:fldChar w:fldCharType="begin"/>
      </w:r>
      <w:r>
        <w:instrText xml:space="preserve"> PAGEREF _Toc503183065 \h </w:instrText>
      </w:r>
      <w:r>
        <w:fldChar w:fldCharType="separate"/>
      </w:r>
      <w:r>
        <w:t>38</w:t>
      </w:r>
      <w:r>
        <w:fldChar w:fldCharType="end"/>
      </w:r>
      <w:r>
        <w:fldChar w:fldCharType="end"/>
      </w:r>
    </w:p>
    <w:p>
      <w:pPr>
        <w:pStyle w:val="5"/>
        <w:tabs>
          <w:tab w:val="right" w:leader="dot" w:pos="8296"/>
        </w:tabs>
        <w:rPr>
          <w:sz w:val="21"/>
          <w:szCs w:val="22"/>
        </w:rPr>
      </w:pPr>
      <w:r>
        <w:fldChar w:fldCharType="begin"/>
      </w:r>
      <w:r>
        <w:instrText xml:space="preserve"> HYPERLINK \l "_Toc503183066" </w:instrText>
      </w:r>
      <w:r>
        <w:fldChar w:fldCharType="separate"/>
      </w:r>
      <w:r>
        <w:rPr>
          <w:rStyle w:val="17"/>
        </w:rPr>
        <w:t>（一）毕业生对母校就业服务的满意度</w:t>
      </w:r>
      <w:r>
        <w:tab/>
      </w:r>
      <w:r>
        <w:fldChar w:fldCharType="begin"/>
      </w:r>
      <w:r>
        <w:instrText xml:space="preserve"> PAGEREF _Toc503183066 \h </w:instrText>
      </w:r>
      <w:r>
        <w:fldChar w:fldCharType="separate"/>
      </w:r>
      <w:r>
        <w:t>38</w:t>
      </w:r>
      <w:r>
        <w:fldChar w:fldCharType="end"/>
      </w:r>
      <w:r>
        <w:fldChar w:fldCharType="end"/>
      </w:r>
    </w:p>
    <w:p>
      <w:pPr>
        <w:pStyle w:val="5"/>
        <w:tabs>
          <w:tab w:val="right" w:leader="dot" w:pos="8296"/>
        </w:tabs>
        <w:rPr>
          <w:sz w:val="21"/>
          <w:szCs w:val="22"/>
        </w:rPr>
      </w:pPr>
      <w:r>
        <w:fldChar w:fldCharType="begin"/>
      </w:r>
      <w:r>
        <w:instrText xml:space="preserve"> HYPERLINK \l "_Toc503183067" </w:instrText>
      </w:r>
      <w:r>
        <w:fldChar w:fldCharType="separate"/>
      </w:r>
      <w:r>
        <w:rPr>
          <w:rStyle w:val="17"/>
        </w:rPr>
        <w:t>（二）毕业生对母校就业服务反面反馈</w:t>
      </w:r>
      <w:r>
        <w:tab/>
      </w:r>
      <w:r>
        <w:fldChar w:fldCharType="begin"/>
      </w:r>
      <w:r>
        <w:instrText xml:space="preserve"> PAGEREF _Toc503183067 \h </w:instrText>
      </w:r>
      <w:r>
        <w:fldChar w:fldCharType="separate"/>
      </w:r>
      <w:r>
        <w:t>39</w:t>
      </w:r>
      <w:r>
        <w:fldChar w:fldCharType="end"/>
      </w:r>
      <w:r>
        <w:fldChar w:fldCharType="end"/>
      </w:r>
    </w:p>
    <w:p>
      <w:pPr>
        <w:pStyle w:val="10"/>
        <w:rPr>
          <w:rFonts w:asciiTheme="minorHAnsi" w:hAnsiTheme="minorHAnsi"/>
          <w:b w:val="0"/>
          <w:bCs w:val="0"/>
          <w:caps w:val="0"/>
          <w:sz w:val="21"/>
          <w:szCs w:val="22"/>
        </w:rPr>
      </w:pPr>
      <w:r>
        <w:fldChar w:fldCharType="begin"/>
      </w:r>
      <w:r>
        <w:instrText xml:space="preserve"> HYPERLINK \l "_Toc503183068" </w:instrText>
      </w:r>
      <w:r>
        <w:fldChar w:fldCharType="separate"/>
      </w:r>
      <w:r>
        <w:rPr>
          <w:rStyle w:val="17"/>
        </w:rPr>
        <w:t>第六章用人单位评价及反馈</w:t>
      </w:r>
      <w:r>
        <w:rPr>
          <w:b w:val="0"/>
          <w:bCs w:val="0"/>
        </w:rPr>
        <w:tab/>
      </w:r>
      <w:r>
        <w:rPr>
          <w:b w:val="0"/>
          <w:bCs w:val="0"/>
        </w:rPr>
        <w:fldChar w:fldCharType="begin"/>
      </w:r>
      <w:r>
        <w:rPr>
          <w:b w:val="0"/>
          <w:bCs w:val="0"/>
        </w:rPr>
        <w:instrText xml:space="preserve"> PAGEREF _Toc503183068 \h </w:instrText>
      </w:r>
      <w:r>
        <w:rPr>
          <w:b w:val="0"/>
          <w:bCs w:val="0"/>
        </w:rPr>
        <w:fldChar w:fldCharType="separate"/>
      </w:r>
      <w:r>
        <w:rPr>
          <w:b w:val="0"/>
          <w:bCs w:val="0"/>
        </w:rPr>
        <w:t>40</w:t>
      </w:r>
      <w:r>
        <w:rPr>
          <w:b w:val="0"/>
          <w:bCs w:val="0"/>
        </w:rP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"_Toc503183069" </w:instrText>
      </w:r>
      <w:r>
        <w:fldChar w:fldCharType="separate"/>
      </w:r>
      <w:r>
        <w:rPr>
          <w:rStyle w:val="17"/>
        </w:rPr>
        <w:t>一、用人单位基本情况</w:t>
      </w:r>
      <w:r>
        <w:tab/>
      </w:r>
      <w:r>
        <w:fldChar w:fldCharType="begin"/>
      </w:r>
      <w:r>
        <w:instrText xml:space="preserve"> PAGEREF _Toc503183069 \h </w:instrText>
      </w:r>
      <w:r>
        <w:fldChar w:fldCharType="separate"/>
      </w:r>
      <w:r>
        <w:t>40</w:t>
      </w:r>
      <w:r>
        <w:fldChar w:fldCharType="end"/>
      </w:r>
      <w:r>
        <w:fldChar w:fldCharType="end"/>
      </w:r>
    </w:p>
    <w:p>
      <w:pPr>
        <w:pStyle w:val="5"/>
        <w:tabs>
          <w:tab w:val="right" w:leader="dot" w:pos="8296"/>
        </w:tabs>
        <w:rPr>
          <w:sz w:val="21"/>
          <w:szCs w:val="22"/>
        </w:rPr>
      </w:pPr>
      <w:r>
        <w:fldChar w:fldCharType="begin"/>
      </w:r>
      <w:r>
        <w:instrText xml:space="preserve"> HYPERLINK \l "_Toc503183070" </w:instrText>
      </w:r>
      <w:r>
        <w:fldChar w:fldCharType="separate"/>
      </w:r>
      <w:r>
        <w:rPr>
          <w:rStyle w:val="17"/>
        </w:rPr>
        <w:t>（一）单位规模</w:t>
      </w:r>
      <w:r>
        <w:tab/>
      </w:r>
      <w:r>
        <w:fldChar w:fldCharType="begin"/>
      </w:r>
      <w:r>
        <w:instrText xml:space="preserve"> PAGEREF _Toc503183070 \h </w:instrText>
      </w:r>
      <w:r>
        <w:fldChar w:fldCharType="separate"/>
      </w:r>
      <w:r>
        <w:t>40</w:t>
      </w:r>
      <w:r>
        <w:fldChar w:fldCharType="end"/>
      </w:r>
      <w:r>
        <w:fldChar w:fldCharType="end"/>
      </w:r>
    </w:p>
    <w:p>
      <w:pPr>
        <w:pStyle w:val="5"/>
        <w:tabs>
          <w:tab w:val="right" w:leader="dot" w:pos="8296"/>
        </w:tabs>
        <w:rPr>
          <w:sz w:val="21"/>
          <w:szCs w:val="22"/>
        </w:rPr>
      </w:pPr>
      <w:r>
        <w:fldChar w:fldCharType="begin"/>
      </w:r>
      <w:r>
        <w:instrText xml:space="preserve"> HYPERLINK \l "_Toc503183071" </w:instrText>
      </w:r>
      <w:r>
        <w:fldChar w:fldCharType="separate"/>
      </w:r>
      <w:r>
        <w:rPr>
          <w:rStyle w:val="17"/>
        </w:rPr>
        <w:t>（二）单位性质</w:t>
      </w:r>
      <w:r>
        <w:tab/>
      </w:r>
      <w:r>
        <w:fldChar w:fldCharType="begin"/>
      </w:r>
      <w:r>
        <w:instrText xml:space="preserve"> PAGEREF _Toc503183071 \h </w:instrText>
      </w:r>
      <w:r>
        <w:fldChar w:fldCharType="separate"/>
      </w:r>
      <w:r>
        <w:t>40</w:t>
      </w:r>
      <w:r>
        <w:fldChar w:fldCharType="end"/>
      </w:r>
      <w:r>
        <w:fldChar w:fldCharType="end"/>
      </w:r>
    </w:p>
    <w:p>
      <w:pPr>
        <w:pStyle w:val="5"/>
        <w:tabs>
          <w:tab w:val="right" w:leader="dot" w:pos="8296"/>
        </w:tabs>
        <w:rPr>
          <w:sz w:val="21"/>
          <w:szCs w:val="22"/>
        </w:rPr>
      </w:pPr>
      <w:r>
        <w:fldChar w:fldCharType="begin"/>
      </w:r>
      <w:r>
        <w:instrText xml:space="preserve"> HYPERLINK \l "_Toc503183072" </w:instrText>
      </w:r>
      <w:r>
        <w:fldChar w:fldCharType="separate"/>
      </w:r>
      <w:r>
        <w:rPr>
          <w:rStyle w:val="17"/>
        </w:rPr>
        <w:t>（三）单位行业</w:t>
      </w:r>
      <w:r>
        <w:tab/>
      </w:r>
      <w:r>
        <w:fldChar w:fldCharType="begin"/>
      </w:r>
      <w:r>
        <w:instrText xml:space="preserve"> PAGEREF _Toc503183072 \h </w:instrText>
      </w:r>
      <w:r>
        <w:fldChar w:fldCharType="separate"/>
      </w:r>
      <w:r>
        <w:t>41</w:t>
      </w:r>
      <w:r>
        <w:fldChar w:fldCharType="end"/>
      </w:r>
      <w:r>
        <w:fldChar w:fldCharType="end"/>
      </w:r>
    </w:p>
    <w:p>
      <w:pPr>
        <w:pStyle w:val="5"/>
        <w:tabs>
          <w:tab w:val="right" w:leader="dot" w:pos="8296"/>
        </w:tabs>
        <w:rPr>
          <w:sz w:val="21"/>
          <w:szCs w:val="22"/>
        </w:rPr>
      </w:pPr>
      <w:r>
        <w:fldChar w:fldCharType="begin"/>
      </w:r>
      <w:r>
        <w:instrText xml:space="preserve"> HYPERLINK \l "_Toc503183073" </w:instrText>
      </w:r>
      <w:r>
        <w:fldChar w:fldCharType="separate"/>
      </w:r>
      <w:r>
        <w:rPr>
          <w:rStyle w:val="17"/>
        </w:rPr>
        <w:t>（四）招聘毕业生渠道</w:t>
      </w:r>
      <w:r>
        <w:tab/>
      </w:r>
      <w:r>
        <w:fldChar w:fldCharType="begin"/>
      </w:r>
      <w:r>
        <w:instrText xml:space="preserve"> PAGEREF _Toc503183073 \h </w:instrText>
      </w:r>
      <w:r>
        <w:fldChar w:fldCharType="separate"/>
      </w:r>
      <w:r>
        <w:t>41</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"_Toc503183074" </w:instrText>
      </w:r>
      <w:r>
        <w:fldChar w:fldCharType="separate"/>
      </w:r>
      <w:r>
        <w:rPr>
          <w:rStyle w:val="17"/>
        </w:rPr>
        <w:t>二、单位招聘毕业生关注因素</w:t>
      </w:r>
      <w:r>
        <w:tab/>
      </w:r>
      <w:r>
        <w:fldChar w:fldCharType="begin"/>
      </w:r>
      <w:r>
        <w:instrText xml:space="preserve"> PAGEREF _Toc503183074 \h </w:instrText>
      </w:r>
      <w:r>
        <w:fldChar w:fldCharType="separate"/>
      </w:r>
      <w:r>
        <w:t>42</w:t>
      </w:r>
      <w:r>
        <w:fldChar w:fldCharType="end"/>
      </w:r>
      <w:r>
        <w:fldChar w:fldCharType="end"/>
      </w:r>
    </w:p>
    <w:p>
      <w:pPr>
        <w:pStyle w:val="5"/>
        <w:tabs>
          <w:tab w:val="right" w:leader="dot" w:pos="8296"/>
        </w:tabs>
        <w:rPr>
          <w:sz w:val="21"/>
          <w:szCs w:val="22"/>
        </w:rPr>
      </w:pPr>
      <w:r>
        <w:fldChar w:fldCharType="begin"/>
      </w:r>
      <w:r>
        <w:instrText xml:space="preserve"> HYPERLINK \l "_Toc503183075" </w:instrText>
      </w:r>
      <w:r>
        <w:fldChar w:fldCharType="separate"/>
      </w:r>
      <w:r>
        <w:rPr>
          <w:rStyle w:val="17"/>
        </w:rPr>
        <w:t>（一）用人单位对毕业生专业的关注度</w:t>
      </w:r>
      <w:r>
        <w:tab/>
      </w:r>
      <w:r>
        <w:fldChar w:fldCharType="begin"/>
      </w:r>
      <w:r>
        <w:instrText xml:space="preserve"> PAGEREF _Toc503183075 \h </w:instrText>
      </w:r>
      <w:r>
        <w:fldChar w:fldCharType="separate"/>
      </w:r>
      <w:r>
        <w:t>42</w:t>
      </w:r>
      <w:r>
        <w:fldChar w:fldCharType="end"/>
      </w:r>
      <w:r>
        <w:fldChar w:fldCharType="end"/>
      </w:r>
    </w:p>
    <w:p>
      <w:pPr>
        <w:pStyle w:val="5"/>
        <w:tabs>
          <w:tab w:val="right" w:leader="dot" w:pos="8296"/>
        </w:tabs>
        <w:rPr>
          <w:sz w:val="21"/>
          <w:szCs w:val="22"/>
        </w:rPr>
      </w:pPr>
      <w:r>
        <w:fldChar w:fldCharType="begin"/>
      </w:r>
      <w:r>
        <w:instrText xml:space="preserve"> HYPERLINK \l "_Toc503183076" </w:instrText>
      </w:r>
      <w:r>
        <w:fldChar w:fldCharType="separate"/>
      </w:r>
      <w:r>
        <w:rPr>
          <w:rStyle w:val="17"/>
        </w:rPr>
        <w:t>（二）录用毕业生时注重因素分布</w:t>
      </w:r>
      <w:r>
        <w:tab/>
      </w:r>
      <w:r>
        <w:fldChar w:fldCharType="begin"/>
      </w:r>
      <w:r>
        <w:instrText xml:space="preserve"> PAGEREF _Toc503183076 \h </w:instrText>
      </w:r>
      <w:r>
        <w:fldChar w:fldCharType="separate"/>
      </w:r>
      <w:r>
        <w:t>43</w:t>
      </w:r>
      <w:r>
        <w:fldChar w:fldCharType="end"/>
      </w:r>
      <w:r>
        <w:fldChar w:fldCharType="end"/>
      </w:r>
    </w:p>
    <w:p>
      <w:pPr>
        <w:pStyle w:val="5"/>
        <w:tabs>
          <w:tab w:val="right" w:leader="dot" w:pos="8296"/>
        </w:tabs>
        <w:rPr>
          <w:sz w:val="21"/>
          <w:szCs w:val="22"/>
        </w:rPr>
      </w:pPr>
      <w:r>
        <w:fldChar w:fldCharType="begin"/>
      </w:r>
      <w:r>
        <w:instrText xml:space="preserve"> HYPERLINK \l "_Toc503183077" </w:instrText>
      </w:r>
      <w:r>
        <w:fldChar w:fldCharType="separate"/>
      </w:r>
      <w:r>
        <w:rPr>
          <w:rStyle w:val="17"/>
        </w:rPr>
        <w:t>（三）招聘毕业生时注重个人品质分布</w:t>
      </w:r>
      <w:r>
        <w:tab/>
      </w:r>
      <w:r>
        <w:fldChar w:fldCharType="begin"/>
      </w:r>
      <w:r>
        <w:instrText xml:space="preserve"> PAGEREF _Toc503183077 \h </w:instrText>
      </w:r>
      <w:r>
        <w:fldChar w:fldCharType="separate"/>
      </w:r>
      <w:r>
        <w:t>43</w:t>
      </w:r>
      <w:r>
        <w:fldChar w:fldCharType="end"/>
      </w:r>
      <w:r>
        <w:fldChar w:fldCharType="end"/>
      </w:r>
    </w:p>
    <w:p>
      <w:pPr>
        <w:pStyle w:val="5"/>
        <w:tabs>
          <w:tab w:val="right" w:leader="dot" w:pos="8296"/>
        </w:tabs>
        <w:rPr>
          <w:sz w:val="21"/>
          <w:szCs w:val="22"/>
        </w:rPr>
      </w:pPr>
      <w:r>
        <w:fldChar w:fldCharType="begin"/>
      </w:r>
      <w:r>
        <w:instrText xml:space="preserve"> HYPERLINK \l "_Toc503183078" </w:instrText>
      </w:r>
      <w:r>
        <w:fldChar w:fldCharType="separate"/>
      </w:r>
      <w:r>
        <w:rPr>
          <w:rStyle w:val="17"/>
        </w:rPr>
        <w:t>（四）招聘毕业生时注重专业知识分布</w:t>
      </w:r>
      <w:r>
        <w:tab/>
      </w:r>
      <w:r>
        <w:fldChar w:fldCharType="begin"/>
      </w:r>
      <w:r>
        <w:instrText xml:space="preserve"> PAGEREF _Toc503183078 \h </w:instrText>
      </w:r>
      <w:r>
        <w:fldChar w:fldCharType="separate"/>
      </w:r>
      <w:r>
        <w:t>44</w:t>
      </w:r>
      <w:r>
        <w:fldChar w:fldCharType="end"/>
      </w:r>
      <w:r>
        <w:fldChar w:fldCharType="end"/>
      </w:r>
    </w:p>
    <w:p>
      <w:pPr>
        <w:pStyle w:val="13"/>
        <w:tabs>
          <w:tab w:val="right" w:leader="dot" w:pos="8296"/>
        </w:tabs>
        <w:rPr>
          <w:b w:val="0"/>
          <w:bCs w:val="0"/>
          <w:sz w:val="21"/>
          <w:szCs w:val="22"/>
        </w:rPr>
      </w:pPr>
      <w:r>
        <w:fldChar w:fldCharType="begin"/>
      </w:r>
      <w:r>
        <w:instrText xml:space="preserve"> HYPERLINK \l "_Toc503183079" </w:instrText>
      </w:r>
      <w:r>
        <w:fldChar w:fldCharType="separate"/>
      </w:r>
      <w:r>
        <w:rPr>
          <w:rStyle w:val="17"/>
        </w:rPr>
        <w:t>三、评价及反馈</w:t>
      </w:r>
      <w:r>
        <w:tab/>
      </w:r>
      <w:r>
        <w:fldChar w:fldCharType="begin"/>
      </w:r>
      <w:r>
        <w:instrText xml:space="preserve"> PAGEREF _Toc503183079 \h </w:instrText>
      </w:r>
      <w:r>
        <w:fldChar w:fldCharType="separate"/>
      </w:r>
      <w:r>
        <w:t>44</w:t>
      </w:r>
      <w:r>
        <w:fldChar w:fldCharType="end"/>
      </w:r>
      <w:r>
        <w:fldChar w:fldCharType="end"/>
      </w:r>
    </w:p>
    <w:p>
      <w:pPr>
        <w:pStyle w:val="5"/>
        <w:tabs>
          <w:tab w:val="right" w:leader="dot" w:pos="8296"/>
        </w:tabs>
        <w:rPr>
          <w:sz w:val="21"/>
          <w:szCs w:val="22"/>
        </w:rPr>
      </w:pPr>
      <w:r>
        <w:fldChar w:fldCharType="begin"/>
      </w:r>
      <w:r>
        <w:instrText xml:space="preserve"> HYPERLINK \l "_Toc503183080" </w:instrText>
      </w:r>
      <w:r>
        <w:fldChar w:fldCharType="separate"/>
      </w:r>
      <w:r>
        <w:rPr>
          <w:rStyle w:val="17"/>
        </w:rPr>
        <w:t>（一）对毕业生的评价</w:t>
      </w:r>
      <w:r>
        <w:tab/>
      </w:r>
      <w:r>
        <w:fldChar w:fldCharType="begin"/>
      </w:r>
      <w:r>
        <w:instrText xml:space="preserve"> PAGEREF _Toc503183080 \h </w:instrText>
      </w:r>
      <w:r>
        <w:fldChar w:fldCharType="separate"/>
      </w:r>
      <w:r>
        <w:t>44</w:t>
      </w:r>
      <w:r>
        <w:fldChar w:fldCharType="end"/>
      </w:r>
      <w:r>
        <w:fldChar w:fldCharType="end"/>
      </w:r>
    </w:p>
    <w:p>
      <w:pPr>
        <w:pStyle w:val="5"/>
        <w:tabs>
          <w:tab w:val="right" w:leader="dot" w:pos="8296"/>
        </w:tabs>
        <w:rPr>
          <w:sz w:val="21"/>
          <w:szCs w:val="22"/>
        </w:rPr>
      </w:pPr>
      <w:r>
        <w:fldChar w:fldCharType="begin"/>
      </w:r>
      <w:r>
        <w:instrText xml:space="preserve"> HYPERLINK \l "_Toc503183081" </w:instrText>
      </w:r>
      <w:r>
        <w:fldChar w:fldCharType="separate"/>
      </w:r>
      <w:r>
        <w:rPr>
          <w:rStyle w:val="17"/>
        </w:rPr>
        <w:t>（二）对学校就业服务的评价</w:t>
      </w:r>
      <w:r>
        <w:tab/>
      </w:r>
      <w:r>
        <w:fldChar w:fldCharType="begin"/>
      </w:r>
      <w:r>
        <w:instrText xml:space="preserve"> PAGEREF _Toc503183081 \h </w:instrText>
      </w:r>
      <w:r>
        <w:fldChar w:fldCharType="separate"/>
      </w:r>
      <w:r>
        <w:t>46</w:t>
      </w:r>
      <w:r>
        <w:fldChar w:fldCharType="end"/>
      </w:r>
      <w:r>
        <w:fldChar w:fldCharType="end"/>
      </w:r>
    </w:p>
    <w:p>
      <w:pPr>
        <w:pStyle w:val="10"/>
        <w:jc w:val="both"/>
        <w:rPr>
          <w:rFonts w:asciiTheme="minorHAnsi" w:hAnsiTheme="minorHAnsi"/>
          <w:b w:val="0"/>
          <w:bCs w:val="0"/>
          <w:caps w:val="0"/>
          <w:sz w:val="21"/>
          <w:szCs w:val="22"/>
        </w:rPr>
      </w:pPr>
      <w:r>
        <w:fldChar w:fldCharType="begin"/>
      </w:r>
      <w:r>
        <w:instrText xml:space="preserve"> HYPERLINK \l "_Toc503183082" </w:instrText>
      </w:r>
      <w:r>
        <w:fldChar w:fldCharType="separate"/>
      </w:r>
      <w:r>
        <w:rPr>
          <w:rStyle w:val="17"/>
        </w:rPr>
        <w:t>第七章就业举措</w:t>
      </w:r>
      <w:r>
        <w:tab/>
      </w:r>
      <w:r>
        <w:fldChar w:fldCharType="end"/>
      </w:r>
      <w:r>
        <w:rPr>
          <w:rFonts w:hint="eastAsia"/>
          <w:lang w:val="en-US" w:eastAsia="zh-CN"/>
        </w:rPr>
        <w:t>48</w:t>
      </w:r>
    </w:p>
    <w:p>
      <w:pPr>
        <w:pStyle w:val="13"/>
        <w:tabs>
          <w:tab w:val="right" w:leader="dot" w:pos="8296"/>
        </w:tabs>
        <w:rPr>
          <w:b w:val="0"/>
          <w:bCs w:val="0"/>
          <w:sz w:val="21"/>
          <w:szCs w:val="22"/>
        </w:rPr>
      </w:pPr>
      <w:r>
        <w:fldChar w:fldCharType="begin"/>
      </w:r>
      <w:r>
        <w:instrText xml:space="preserve"> HYPERLINK \l "_Toc503183083" </w:instrText>
      </w:r>
      <w:r>
        <w:fldChar w:fldCharType="separate"/>
      </w:r>
      <w:r>
        <w:rPr>
          <w:rStyle w:val="17"/>
        </w:rPr>
        <w:t>一、逐步健全就业创业工作体制</w:t>
      </w:r>
      <w:r>
        <w:tab/>
      </w:r>
      <w:r>
        <w:rPr>
          <w:rFonts w:hint="eastAsia"/>
          <w:lang w:val="en-US" w:eastAsia="zh-CN"/>
        </w:rPr>
        <w:t>4</w:t>
      </w:r>
      <w:r>
        <w:fldChar w:fldCharType="end"/>
      </w:r>
      <w:r>
        <w:rPr>
          <w:rFonts w:hint="eastAsia"/>
          <w:lang w:val="en-US" w:eastAsia="zh-CN"/>
        </w:rPr>
        <w:t>8</w:t>
      </w:r>
    </w:p>
    <w:p>
      <w:pPr>
        <w:pStyle w:val="13"/>
        <w:tabs>
          <w:tab w:val="right" w:leader="dot" w:pos="8296"/>
        </w:tabs>
        <w:rPr>
          <w:b w:val="0"/>
          <w:bCs w:val="0"/>
          <w:sz w:val="21"/>
          <w:szCs w:val="22"/>
        </w:rPr>
      </w:pPr>
      <w:r>
        <w:fldChar w:fldCharType="begin"/>
      </w:r>
      <w:r>
        <w:instrText xml:space="preserve"> HYPERLINK \l "_Toc503183084" </w:instrText>
      </w:r>
      <w:r>
        <w:fldChar w:fldCharType="separate"/>
      </w:r>
      <w:r>
        <w:rPr>
          <w:rStyle w:val="17"/>
        </w:rPr>
        <w:t>二、认真完善就业创业工作机制</w:t>
      </w:r>
      <w:r>
        <w:tab/>
      </w:r>
      <w:r>
        <w:rPr>
          <w:rFonts w:hint="eastAsia"/>
          <w:lang w:val="en-US" w:eastAsia="zh-CN"/>
        </w:rPr>
        <w:t>4</w:t>
      </w:r>
      <w:r>
        <w:fldChar w:fldCharType="end"/>
      </w:r>
      <w:r>
        <w:rPr>
          <w:rFonts w:hint="eastAsia"/>
          <w:lang w:val="en-US" w:eastAsia="zh-CN"/>
        </w:rPr>
        <w:t>8</w:t>
      </w:r>
    </w:p>
    <w:p>
      <w:pPr>
        <w:pStyle w:val="13"/>
        <w:tabs>
          <w:tab w:val="right" w:leader="dot" w:pos="8296"/>
        </w:tabs>
        <w:rPr>
          <w:b w:val="0"/>
          <w:bCs w:val="0"/>
          <w:sz w:val="21"/>
          <w:szCs w:val="22"/>
        </w:rPr>
      </w:pPr>
      <w:r>
        <w:fldChar w:fldCharType="begin"/>
      </w:r>
      <w:r>
        <w:instrText xml:space="preserve"> HYPERLINK \l "_Toc503183085" </w:instrText>
      </w:r>
      <w:r>
        <w:fldChar w:fldCharType="separate"/>
      </w:r>
      <w:r>
        <w:rPr>
          <w:rStyle w:val="17"/>
        </w:rPr>
        <w:t>三、切实加强就业创业指导服务</w:t>
      </w:r>
      <w:r>
        <w:tab/>
      </w:r>
      <w:r>
        <w:rPr>
          <w:rFonts w:hint="eastAsia"/>
          <w:lang w:val="en-US" w:eastAsia="zh-CN"/>
        </w:rPr>
        <w:t>4</w:t>
      </w:r>
      <w:r>
        <w:fldChar w:fldCharType="end"/>
      </w:r>
      <w:r>
        <w:rPr>
          <w:rFonts w:hint="eastAsia"/>
          <w:lang w:val="en-US" w:eastAsia="zh-CN"/>
        </w:rPr>
        <w:t>8</w:t>
      </w:r>
    </w:p>
    <w:p>
      <w:pPr>
        <w:pStyle w:val="13"/>
        <w:tabs>
          <w:tab w:val="right" w:leader="dot" w:pos="8296"/>
        </w:tabs>
        <w:rPr>
          <w:b w:val="0"/>
          <w:bCs w:val="0"/>
          <w:sz w:val="21"/>
          <w:szCs w:val="22"/>
        </w:rPr>
      </w:pPr>
      <w:r>
        <w:fldChar w:fldCharType="begin"/>
      </w:r>
      <w:r>
        <w:instrText xml:space="preserve"> HYPERLINK \l "_Toc503183086" </w:instrText>
      </w:r>
      <w:r>
        <w:fldChar w:fldCharType="separate"/>
      </w:r>
      <w:r>
        <w:rPr>
          <w:rStyle w:val="17"/>
        </w:rPr>
        <w:t>四、不断促进毕业生在鄂在仙就业</w:t>
      </w:r>
      <w:r>
        <w:tab/>
      </w:r>
      <w:r>
        <w:rPr>
          <w:rFonts w:hint="eastAsia"/>
          <w:lang w:val="en-US" w:eastAsia="zh-CN"/>
        </w:rPr>
        <w:t>4</w:t>
      </w:r>
      <w:r>
        <w:fldChar w:fldCharType="end"/>
      </w:r>
      <w:r>
        <w:rPr>
          <w:rFonts w:hint="eastAsia"/>
          <w:lang w:val="en-US" w:eastAsia="zh-CN"/>
        </w:rPr>
        <w:t>8</w:t>
      </w:r>
    </w:p>
    <w:p>
      <w:pPr>
        <w:pStyle w:val="13"/>
        <w:tabs>
          <w:tab w:val="right" w:leader="dot" w:pos="8296"/>
        </w:tabs>
        <w:rPr>
          <w:b w:val="0"/>
          <w:bCs w:val="0"/>
          <w:sz w:val="21"/>
          <w:szCs w:val="22"/>
        </w:rPr>
      </w:pPr>
      <w:r>
        <w:fldChar w:fldCharType="begin"/>
      </w:r>
      <w:r>
        <w:instrText xml:space="preserve"> HYPERLINK \l "_Toc503183087" </w:instrText>
      </w:r>
      <w:r>
        <w:fldChar w:fldCharType="separate"/>
      </w:r>
      <w:r>
        <w:rPr>
          <w:rStyle w:val="17"/>
        </w:rPr>
        <w:t>五、扎实做好特殊群体学生就业帮扶</w:t>
      </w:r>
      <w:r>
        <w:tab/>
      </w:r>
      <w:r>
        <w:rPr>
          <w:rFonts w:hint="eastAsia"/>
          <w:lang w:val="en-US" w:eastAsia="zh-CN"/>
        </w:rPr>
        <w:t>4</w:t>
      </w:r>
      <w:r>
        <w:fldChar w:fldCharType="end"/>
      </w:r>
      <w:r>
        <w:rPr>
          <w:rFonts w:hint="eastAsia"/>
          <w:lang w:val="en-US" w:eastAsia="zh-CN"/>
        </w:rPr>
        <w:t>8</w:t>
      </w:r>
    </w:p>
    <w:p>
      <w:pPr>
        <w:pStyle w:val="13"/>
        <w:tabs>
          <w:tab w:val="right" w:leader="dot" w:pos="8296"/>
        </w:tabs>
        <w:rPr>
          <w:b w:val="0"/>
          <w:bCs w:val="0"/>
          <w:sz w:val="21"/>
          <w:szCs w:val="22"/>
        </w:rPr>
      </w:pPr>
      <w:r>
        <w:fldChar w:fldCharType="begin"/>
      </w:r>
      <w:r>
        <w:instrText xml:space="preserve"> HYPERLINK \l "_Toc503183088" </w:instrText>
      </w:r>
      <w:r>
        <w:fldChar w:fldCharType="separate"/>
      </w:r>
      <w:r>
        <w:rPr>
          <w:rStyle w:val="17"/>
        </w:rPr>
        <w:t>六、有效开展基层就业统计培训检查</w:t>
      </w:r>
      <w:r>
        <w:tab/>
      </w:r>
      <w:r>
        <w:rPr>
          <w:rFonts w:hint="eastAsia"/>
          <w:lang w:val="en-US" w:eastAsia="zh-CN"/>
        </w:rPr>
        <w:t>4</w:t>
      </w:r>
      <w:r>
        <w:fldChar w:fldCharType="end"/>
      </w:r>
      <w:r>
        <w:rPr>
          <w:rFonts w:hint="eastAsia"/>
          <w:lang w:val="en-US" w:eastAsia="zh-CN"/>
        </w:rPr>
        <w:t>9</w:t>
      </w:r>
    </w:p>
    <w:p>
      <w:pPr>
        <w:pStyle w:val="13"/>
        <w:tabs>
          <w:tab w:val="right" w:leader="dot" w:pos="8296"/>
        </w:tabs>
        <w:rPr>
          <w:b w:val="0"/>
          <w:bCs w:val="0"/>
          <w:sz w:val="21"/>
          <w:szCs w:val="22"/>
        </w:rPr>
      </w:pPr>
      <w:r>
        <w:fldChar w:fldCharType="begin"/>
      </w:r>
      <w:r>
        <w:instrText xml:space="preserve"> HYPERLINK \l "_Toc503183089" </w:instrText>
      </w:r>
      <w:r>
        <w:fldChar w:fldCharType="separate"/>
      </w:r>
      <w:r>
        <w:rPr>
          <w:rStyle w:val="17"/>
        </w:rPr>
        <w:t>七、严格执行教育部“四不准”规定</w:t>
      </w:r>
      <w:r>
        <w:tab/>
      </w:r>
      <w:r>
        <w:rPr>
          <w:rFonts w:hint="eastAsia"/>
          <w:lang w:val="en-US" w:eastAsia="zh-CN"/>
        </w:rPr>
        <w:t>4</w:t>
      </w:r>
      <w:r>
        <w:fldChar w:fldCharType="end"/>
      </w:r>
      <w:r>
        <w:rPr>
          <w:rFonts w:hint="eastAsia"/>
          <w:lang w:val="en-US" w:eastAsia="zh-CN"/>
        </w:rPr>
        <w:t>9</w:t>
      </w:r>
    </w:p>
    <w:p>
      <w:pPr>
        <w:pStyle w:val="10"/>
        <w:jc w:val="both"/>
      </w:pPr>
      <w:r>
        <w:fldChar w:fldCharType="begin"/>
      </w:r>
      <w:r>
        <w:instrText xml:space="preserve"> HYPERLINK \l "_Toc503183090" </w:instrText>
      </w:r>
      <w:r>
        <w:fldChar w:fldCharType="separate"/>
      </w:r>
      <w:r>
        <w:t>第八章总结与反馈</w:t>
      </w:r>
      <w:r>
        <w:tab/>
      </w:r>
      <w:r>
        <w:fldChar w:fldCharType="end"/>
      </w:r>
      <w:r>
        <w:rPr>
          <w:rFonts w:hint="eastAsia"/>
          <w:lang w:val="en-US" w:eastAsia="zh-CN"/>
        </w:rPr>
        <w:t>50</w:t>
      </w:r>
    </w:p>
    <w:p>
      <w:pPr>
        <w:pStyle w:val="13"/>
        <w:tabs>
          <w:tab w:val="right" w:leader="dot" w:pos="8296"/>
        </w:tabs>
        <w:rPr>
          <w:b w:val="0"/>
          <w:bCs w:val="0"/>
          <w:sz w:val="21"/>
          <w:szCs w:val="22"/>
        </w:rPr>
      </w:pPr>
      <w:r>
        <w:fldChar w:fldCharType="begin"/>
      </w:r>
      <w:r>
        <w:instrText xml:space="preserve"> HYPERLINK \l "_Toc503183091" </w:instrText>
      </w:r>
      <w:r>
        <w:fldChar w:fldCharType="separate"/>
      </w:r>
      <w:r>
        <w:rPr>
          <w:rStyle w:val="17"/>
        </w:rPr>
        <w:t>一、报告总结</w:t>
      </w:r>
      <w:r>
        <w:tab/>
      </w:r>
      <w:r>
        <w:rPr>
          <w:rFonts w:hint="eastAsia"/>
          <w:lang w:val="en-US" w:eastAsia="zh-CN"/>
        </w:rPr>
        <w:t>5</w:t>
      </w:r>
      <w:r>
        <w:fldChar w:fldCharType="end"/>
      </w:r>
      <w:r>
        <w:rPr>
          <w:rFonts w:hint="eastAsia"/>
          <w:lang w:val="en-US" w:eastAsia="zh-CN"/>
        </w:rPr>
        <w:t>0</w:t>
      </w:r>
    </w:p>
    <w:p>
      <w:pPr>
        <w:pStyle w:val="13"/>
        <w:tabs>
          <w:tab w:val="right" w:leader="dot" w:pos="8296"/>
        </w:tabs>
        <w:rPr>
          <w:b w:val="0"/>
          <w:bCs w:val="0"/>
          <w:sz w:val="21"/>
          <w:szCs w:val="22"/>
        </w:rPr>
      </w:pPr>
      <w:r>
        <w:fldChar w:fldCharType="begin"/>
      </w:r>
      <w:r>
        <w:instrText xml:space="preserve"> HYPERLINK \l "_Toc503183092" </w:instrText>
      </w:r>
      <w:r>
        <w:fldChar w:fldCharType="separate"/>
      </w:r>
      <w:r>
        <w:rPr>
          <w:rStyle w:val="17"/>
          <w:rFonts w:eastAsiaTheme="majorEastAsia"/>
        </w:rPr>
        <w:t>二、建议与反馈</w:t>
      </w:r>
      <w:r>
        <w:tab/>
      </w:r>
      <w:r>
        <w:rPr>
          <w:rFonts w:hint="eastAsia"/>
          <w:lang w:val="en-US" w:eastAsia="zh-CN"/>
        </w:rPr>
        <w:t>5</w:t>
      </w:r>
      <w:r>
        <w:fldChar w:fldCharType="end"/>
      </w:r>
      <w:r>
        <w:rPr>
          <w:rFonts w:hint="eastAsia"/>
          <w:lang w:val="en-US" w:eastAsia="zh-CN"/>
        </w:rPr>
        <w:t>1</w:t>
      </w:r>
    </w:p>
    <w:p>
      <w:pPr>
        <w:pStyle w:val="5"/>
        <w:tabs>
          <w:tab w:val="right" w:leader="dot" w:pos="8296"/>
        </w:tabs>
        <w:rPr>
          <w:sz w:val="21"/>
          <w:szCs w:val="22"/>
        </w:rPr>
      </w:pPr>
      <w:r>
        <w:fldChar w:fldCharType="begin"/>
      </w:r>
      <w:r>
        <w:instrText xml:space="preserve"> HYPERLINK \l "_Toc503183093" </w:instrText>
      </w:r>
      <w:r>
        <w:fldChar w:fldCharType="separate"/>
      </w:r>
      <w:r>
        <w:rPr>
          <w:rStyle w:val="17"/>
        </w:rPr>
        <w:t>（一）加强毕业生就业工作队伍建设</w:t>
      </w:r>
      <w:r>
        <w:tab/>
      </w:r>
      <w:r>
        <w:rPr>
          <w:rFonts w:hint="eastAsia"/>
          <w:lang w:val="en-US" w:eastAsia="zh-CN"/>
        </w:rPr>
        <w:t>5</w:t>
      </w:r>
      <w:r>
        <w:fldChar w:fldCharType="end"/>
      </w:r>
      <w:r>
        <w:rPr>
          <w:rFonts w:hint="eastAsia"/>
          <w:lang w:val="en-US" w:eastAsia="zh-CN"/>
        </w:rPr>
        <w:t>1</w:t>
      </w:r>
    </w:p>
    <w:p>
      <w:pPr>
        <w:pStyle w:val="5"/>
        <w:tabs>
          <w:tab w:val="right" w:leader="dot" w:pos="8296"/>
        </w:tabs>
        <w:rPr>
          <w:sz w:val="21"/>
          <w:szCs w:val="22"/>
        </w:rPr>
      </w:pPr>
      <w:r>
        <w:fldChar w:fldCharType="begin"/>
      </w:r>
      <w:r>
        <w:instrText xml:space="preserve"> HYPERLINK \l "_Toc503183094" </w:instrText>
      </w:r>
      <w:r>
        <w:fldChar w:fldCharType="separate"/>
      </w:r>
      <w:r>
        <w:rPr>
          <w:rStyle w:val="17"/>
        </w:rPr>
        <w:t>（二）提高实践教学水平，切实增强毕业生就业竞争力</w:t>
      </w:r>
      <w:r>
        <w:tab/>
      </w:r>
      <w:r>
        <w:rPr>
          <w:rFonts w:hint="eastAsia"/>
          <w:lang w:val="en-US" w:eastAsia="zh-CN"/>
        </w:rPr>
        <w:t>5</w:t>
      </w:r>
      <w:r>
        <w:fldChar w:fldCharType="end"/>
      </w:r>
      <w:r>
        <w:rPr>
          <w:rFonts w:hint="eastAsia"/>
          <w:lang w:val="en-US" w:eastAsia="zh-CN"/>
        </w:rPr>
        <w:t>1</w:t>
      </w:r>
    </w:p>
    <w:p>
      <w:pPr>
        <w:pStyle w:val="5"/>
        <w:tabs>
          <w:tab w:val="right" w:leader="dot" w:pos="8296"/>
        </w:tabs>
        <w:rPr>
          <w:sz w:val="21"/>
          <w:szCs w:val="22"/>
        </w:rPr>
      </w:pPr>
      <w:r>
        <w:fldChar w:fldCharType="begin"/>
      </w:r>
      <w:r>
        <w:instrText xml:space="preserve"> HYPERLINK \l "_Toc503183095" </w:instrText>
      </w:r>
      <w:r>
        <w:fldChar w:fldCharType="separate"/>
      </w:r>
      <w:r>
        <w:rPr>
          <w:rStyle w:val="17"/>
        </w:rPr>
        <w:t>（三）积极加大就业相关教学资金的投入，增强校企合作力度</w:t>
      </w:r>
      <w:r>
        <w:tab/>
      </w:r>
      <w:r>
        <w:rPr>
          <w:rFonts w:hint="eastAsia"/>
          <w:lang w:val="en-US" w:eastAsia="zh-CN"/>
        </w:rPr>
        <w:t>5</w:t>
      </w:r>
      <w:r>
        <w:fldChar w:fldCharType="end"/>
      </w:r>
      <w:r>
        <w:rPr>
          <w:rFonts w:hint="eastAsia"/>
          <w:lang w:val="en-US" w:eastAsia="zh-CN"/>
        </w:rPr>
        <w:t>2</w:t>
      </w:r>
    </w:p>
    <w:p>
      <w:pPr>
        <w:sectPr>
          <w:footerReference r:id="rId5" w:type="default"/>
          <w:pgSz w:w="11906" w:h="16838"/>
          <w:pgMar w:top="1440" w:right="1800" w:bottom="1440" w:left="1800" w:header="851" w:footer="992" w:gutter="0"/>
          <w:pgNumType w:fmt="upperRoman" w:start="1"/>
          <w:cols w:space="425" w:num="1"/>
          <w:docGrid w:type="lines" w:linePitch="312" w:charSpace="0"/>
        </w:sectPr>
      </w:pPr>
      <w:r>
        <w:fldChar w:fldCharType="end"/>
      </w:r>
    </w:p>
    <w:p>
      <w:pPr>
        <w:pStyle w:val="27"/>
        <w:spacing w:before="156" w:after="156"/>
      </w:pPr>
      <w:bookmarkStart w:id="1" w:name="_Toc503182998"/>
      <w:r>
        <w:rPr>
          <w:rFonts w:hint="eastAsia"/>
        </w:rPr>
        <w:t>前言</w:t>
      </w:r>
      <w:bookmarkEnd w:id="1"/>
    </w:p>
    <w:p>
      <w:pPr>
        <w:keepNext w:val="0"/>
        <w:keepLines w:val="0"/>
        <w:pageBreakBefore w:val="0"/>
        <w:widowControl w:val="0"/>
        <w:kinsoku/>
        <w:wordWrap/>
        <w:overflowPunct/>
        <w:topLinePunct w:val="0"/>
        <w:autoSpaceDE w:val="0"/>
        <w:autoSpaceDN w:val="0"/>
        <w:bidi w:val="0"/>
        <w:adjustRightInd w:val="0"/>
        <w:snapToGrid/>
        <w:spacing w:line="520" w:lineRule="exact"/>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4"/>
          <w:lang w:val="zh-CN" w:eastAsia="zh-CN" w:bidi="ar-SA"/>
        </w:rPr>
      </w:pPr>
      <w:r>
        <w:rPr>
          <w:rFonts w:hint="eastAsia" w:asciiTheme="minorEastAsia" w:hAnsiTheme="minorHAnsi" w:eastAsiaTheme="minorEastAsia" w:cstheme="minorBidi"/>
          <w:kern w:val="2"/>
          <w:sz w:val="24"/>
          <w:szCs w:val="24"/>
          <w:lang w:val="zh-CN" w:eastAsia="zh-CN" w:bidi="ar-SA"/>
        </w:rPr>
        <w:t>为全面系统反映学院2017届毕业生就业情况，及时回应社会关切，接受社会监督，建立健全学院毕业生就业工作评价体系，完善就业状况反馈机制，根据《教育部办公厅关于编制发布高校毕业生就业质量年度报告的通知》及《教育部关于做好2017届全国普通高等学校毕业生就业创业工作的通知》要求，仙桃职业学院委托第三方专业调研咨询机构北京乐易考教育科技集团有限公司编制完成《仙桃职业学院2017届毕业生就业质量年度报告》。</w:t>
      </w:r>
    </w:p>
    <w:p>
      <w:pPr>
        <w:keepNext w:val="0"/>
        <w:keepLines w:val="0"/>
        <w:pageBreakBefore w:val="0"/>
        <w:widowControl w:val="0"/>
        <w:kinsoku/>
        <w:wordWrap/>
        <w:overflowPunct/>
        <w:topLinePunct w:val="0"/>
        <w:autoSpaceDE w:val="0"/>
        <w:autoSpaceDN w:val="0"/>
        <w:bidi w:val="0"/>
        <w:adjustRightInd w:val="0"/>
        <w:snapToGrid/>
        <w:spacing w:line="520" w:lineRule="exact"/>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4"/>
          <w:lang w:val="zh-CN" w:eastAsia="zh-CN" w:bidi="ar-SA"/>
        </w:rPr>
      </w:pPr>
      <w:r>
        <w:rPr>
          <w:rFonts w:hint="eastAsia" w:asciiTheme="minorEastAsia" w:hAnsiTheme="minorHAnsi" w:eastAsiaTheme="minorEastAsia" w:cstheme="minorBidi"/>
          <w:kern w:val="2"/>
          <w:sz w:val="24"/>
          <w:szCs w:val="24"/>
          <w:lang w:val="zh-CN" w:eastAsia="zh-CN" w:bidi="ar-SA"/>
        </w:rPr>
        <w:t>报告分析指标主要涵盖了就业率、就业去向及流向分布、毕业生收入水平、专业对口度、就业满意度、毕业生及用人单位对学校满意度等多个方面。报告全面系统的反映了学院毕业生就业创业基本情况及其对学院人才培养的反馈，并以此作为招生计划编制、专业调整和人才培养改革等方面的重要参考，使专业设置与社会需求更相匹配，提高毕业生就业创业和职业转换能力。</w:t>
      </w:r>
    </w:p>
    <w:p>
      <w:pPr>
        <w:keepNext w:val="0"/>
        <w:keepLines w:val="0"/>
        <w:pageBreakBefore w:val="0"/>
        <w:widowControl w:val="0"/>
        <w:kinsoku/>
        <w:wordWrap/>
        <w:overflowPunct/>
        <w:topLinePunct w:val="0"/>
        <w:autoSpaceDE w:val="0"/>
        <w:autoSpaceDN w:val="0"/>
        <w:bidi w:val="0"/>
        <w:adjustRightInd w:val="0"/>
        <w:snapToGrid/>
        <w:spacing w:line="520" w:lineRule="exact"/>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4"/>
          <w:lang w:val="zh-CN" w:eastAsia="zh-CN" w:bidi="ar-SA"/>
        </w:rPr>
      </w:pPr>
      <w:r>
        <w:rPr>
          <w:rFonts w:hint="eastAsia" w:asciiTheme="minorEastAsia" w:hAnsiTheme="minorHAnsi" w:eastAsiaTheme="minorEastAsia" w:cstheme="minorBidi"/>
          <w:kern w:val="2"/>
          <w:sz w:val="24"/>
          <w:szCs w:val="24"/>
          <w:lang w:val="zh-CN" w:eastAsia="zh-CN" w:bidi="ar-SA"/>
        </w:rPr>
        <w:t>本报告基于仙桃职业学院毕业生就业信息数据及2017届毕业生和校企合作单位调研数据进行分析，使用数据主要涉及毕业生的规模和结构、就业率、毕业去向、就业流向等。2017届毕业生调研采用线上的实名制调研，清洗环节先后通过答题时间、IP地址、重复答题等原则过滤，保证了数据质量。对上述数据，建立数学模型进行分析，采用制作图表等方式，比较全面客观地反映学院毕业生就业工作的实际现状，反映了毕业生就业的基本情况。报告整体反应就业情况如下：</w:t>
      </w:r>
    </w:p>
    <w:p>
      <w:pPr>
        <w:keepNext w:val="0"/>
        <w:keepLines w:val="0"/>
        <w:pageBreakBefore w:val="0"/>
        <w:widowControl w:val="0"/>
        <w:kinsoku/>
        <w:wordWrap/>
        <w:overflowPunct/>
        <w:topLinePunct w:val="0"/>
        <w:autoSpaceDE w:val="0"/>
        <w:autoSpaceDN w:val="0"/>
        <w:bidi w:val="0"/>
        <w:adjustRightInd w:val="0"/>
        <w:snapToGrid/>
        <w:spacing w:line="520" w:lineRule="exact"/>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4"/>
          <w:lang w:val="zh-CN" w:eastAsia="zh-CN" w:bidi="ar-SA"/>
        </w:rPr>
      </w:pPr>
      <w:r>
        <w:rPr>
          <w:rFonts w:hint="eastAsia" w:asciiTheme="minorEastAsia" w:hAnsiTheme="minorHAnsi" w:eastAsiaTheme="minorEastAsia" w:cstheme="minorBidi"/>
          <w:kern w:val="2"/>
          <w:sz w:val="24"/>
          <w:szCs w:val="24"/>
          <w:lang w:val="zh-CN" w:eastAsia="zh-CN" w:bidi="ar-SA"/>
        </w:rPr>
        <w:t>截止2017年12月，2017届3369名毕业生中，已就业人数3216人，就业率为95.46%，整体就业水平较好，毕业生及用人单位满意度较高，充分体现了学院人才培养与就创业指导服务的成效。</w:t>
      </w:r>
    </w:p>
    <w:p>
      <w:pPr>
        <w:keepNext w:val="0"/>
        <w:keepLines w:val="0"/>
        <w:pageBreakBefore w:val="0"/>
        <w:kinsoku/>
        <w:wordWrap/>
        <w:overflowPunct/>
        <w:topLinePunct w:val="0"/>
        <w:autoSpaceDE w:val="0"/>
        <w:autoSpaceDN w:val="0"/>
        <w:bidi w:val="0"/>
        <w:adjustRightInd w:val="0"/>
        <w:snapToGrid/>
        <w:spacing w:line="520" w:lineRule="exact"/>
        <w:ind w:left="0" w:leftChars="0" w:right="0" w:rightChars="0" w:firstLine="480"/>
        <w:jc w:val="left"/>
        <w:textAlignment w:val="auto"/>
        <w:rPr>
          <w:rFonts w:ascii="Calibri" w:hAnsi="Calibri" w:cs="Calibri"/>
          <w:color w:val="FF0000"/>
          <w:kern w:val="0"/>
          <w:sz w:val="24"/>
          <w:szCs w:val="24"/>
          <w:lang w:val="zh-CN"/>
        </w:rPr>
      </w:pPr>
    </w:p>
    <w:p>
      <w:pPr>
        <w:pStyle w:val="21"/>
        <w:keepNext w:val="0"/>
        <w:keepLines w:val="0"/>
        <w:pageBreakBefore w:val="0"/>
        <w:kinsoku/>
        <w:wordWrap/>
        <w:overflowPunct/>
        <w:topLinePunct w:val="0"/>
        <w:bidi w:val="0"/>
        <w:snapToGrid/>
        <w:spacing w:line="520" w:lineRule="exact"/>
        <w:ind w:left="0" w:leftChars="0" w:right="0" w:rightChars="0" w:firstLine="480"/>
        <w:textAlignment w:val="auto"/>
        <w:rPr>
          <w:sz w:val="24"/>
          <w:szCs w:val="24"/>
        </w:rPr>
      </w:pPr>
    </w:p>
    <w:p>
      <w:pPr>
        <w:pStyle w:val="27"/>
        <w:keepNext w:val="0"/>
        <w:keepLines w:val="0"/>
        <w:pageBreakBefore w:val="0"/>
        <w:kinsoku/>
        <w:wordWrap/>
        <w:overflowPunct/>
        <w:topLinePunct w:val="0"/>
        <w:bidi w:val="0"/>
        <w:snapToGrid/>
        <w:spacing w:before="156" w:after="156" w:line="520" w:lineRule="exact"/>
        <w:ind w:left="0" w:leftChars="0" w:right="0" w:rightChars="0"/>
        <w:textAlignment w:val="auto"/>
        <w:rPr>
          <w:rFonts w:hint="eastAsia"/>
          <w:sz w:val="24"/>
          <w:szCs w:val="24"/>
        </w:rPr>
      </w:pPr>
      <w:bookmarkStart w:id="2" w:name="_Toc503182999"/>
    </w:p>
    <w:p>
      <w:pPr>
        <w:pStyle w:val="27"/>
        <w:spacing w:before="156" w:after="156"/>
      </w:pPr>
      <w:r>
        <w:rPr>
          <w:rFonts w:hint="eastAsia"/>
        </w:rPr>
        <w:t>学院概况</w:t>
      </w:r>
      <w:bookmarkEnd w:id="2"/>
    </w:p>
    <w:p>
      <w:pPr>
        <w:pStyle w:val="21"/>
        <w:keepNext w:val="0"/>
        <w:keepLines w:val="0"/>
        <w:pageBreakBefore w:val="0"/>
        <w:widowControl w:val="0"/>
        <w:kinsoku/>
        <w:wordWrap/>
        <w:overflowPunct/>
        <w:topLinePunct w:val="0"/>
        <w:autoSpaceDE/>
        <w:autoSpaceDN/>
        <w:bidi w:val="0"/>
        <w:adjustRightInd/>
        <w:snapToGrid/>
        <w:spacing w:before="120" w:after="120" w:line="520" w:lineRule="exact"/>
        <w:ind w:left="0" w:leftChars="0" w:right="0" w:rightChars="0" w:firstLine="480" w:firstLineChars="200"/>
        <w:jc w:val="both"/>
        <w:textAlignment w:val="auto"/>
        <w:outlineLvl w:val="9"/>
      </w:pPr>
      <w:r>
        <w:rPr>
          <w:rFonts w:hint="eastAsia"/>
        </w:rPr>
        <w:t>仙桃职业学院是经湖北省人民政府批准、国家教育部备案的一所公办全日制普通高等院校，其前身是成立于1939年的湖北省立第一师范学校，2001年由仙桃师范学校和仙桃卫生学校合并组建而成。学院坐落在驰名中外的“亚洲体操之乡”——湖北省仙桃市，即奥运体操冠军李小双、李大双、杨威、郑李辉和奥运举重冠军廖辉的家乡。学院所在地位于武汉城市圈内，东连武汉，西接荆州，南眺长江，北依汉水，风景秀美，交通便捷。</w:t>
      </w:r>
    </w:p>
    <w:p>
      <w:pPr>
        <w:pStyle w:val="21"/>
        <w:keepNext w:val="0"/>
        <w:keepLines w:val="0"/>
        <w:pageBreakBefore w:val="0"/>
        <w:widowControl w:val="0"/>
        <w:kinsoku/>
        <w:wordWrap/>
        <w:overflowPunct/>
        <w:topLinePunct w:val="0"/>
        <w:autoSpaceDE/>
        <w:autoSpaceDN/>
        <w:bidi w:val="0"/>
        <w:adjustRightInd/>
        <w:snapToGrid/>
        <w:spacing w:before="120" w:after="120" w:line="520" w:lineRule="exact"/>
        <w:ind w:left="0" w:leftChars="0" w:right="0" w:rightChars="0" w:firstLine="480" w:firstLineChars="200"/>
        <w:jc w:val="both"/>
        <w:textAlignment w:val="auto"/>
      </w:pPr>
      <w:r>
        <w:rPr>
          <w:rFonts w:hint="eastAsia"/>
        </w:rPr>
        <w:t>学院占地面积</w:t>
      </w:r>
      <w:r>
        <w:t>69.4</w:t>
      </w:r>
      <w:r>
        <w:rPr>
          <w:rFonts w:hint="eastAsia"/>
        </w:rPr>
        <w:t>万</w:t>
      </w:r>
      <w:r>
        <w:t>平方米</w:t>
      </w:r>
      <w:r>
        <w:rPr>
          <w:rFonts w:hint="eastAsia"/>
        </w:rPr>
        <w:t>，校舍建筑面积</w:t>
      </w:r>
      <w:r>
        <w:t>34</w:t>
      </w:r>
      <w:r>
        <w:rPr>
          <w:rFonts w:hint="eastAsia"/>
        </w:rPr>
        <w:t>万平方米，建有教学大楼、图书馆、文化艺术中心、学生活动中心、学术交流中心等现代化大型建筑，教学、生活、运动场地区域分明、功能完善，自然、建筑、人文景观三位一体、环境幽雅。学院先后荣获“全国国防教育特色学校”、“全国职工教育培训示范点”、“湖北省文明单位”、“湖北省民族团结进步先进集体”、“湖北省园林式学校”、“湖北省平安校园”等称号，是教育部高校毕业生就业协会职业教育分会常务理事和湖北省高教学会高职分会副会长单位。</w:t>
      </w:r>
    </w:p>
    <w:p>
      <w:pPr>
        <w:pStyle w:val="21"/>
        <w:keepNext w:val="0"/>
        <w:keepLines w:val="0"/>
        <w:pageBreakBefore w:val="0"/>
        <w:widowControl w:val="0"/>
        <w:kinsoku/>
        <w:wordWrap/>
        <w:overflowPunct/>
        <w:topLinePunct w:val="0"/>
        <w:autoSpaceDE/>
        <w:autoSpaceDN/>
        <w:bidi w:val="0"/>
        <w:adjustRightInd/>
        <w:snapToGrid/>
        <w:spacing w:before="120" w:after="120" w:line="520" w:lineRule="exact"/>
        <w:ind w:left="0" w:leftChars="0" w:right="0" w:rightChars="0" w:firstLine="480" w:firstLineChars="200"/>
        <w:jc w:val="both"/>
        <w:textAlignment w:val="auto"/>
      </w:pPr>
      <w:r>
        <w:rPr>
          <w:rFonts w:hint="eastAsia"/>
        </w:rPr>
        <w:t>学院建有</w:t>
      </w:r>
      <w:r>
        <w:t>17</w:t>
      </w:r>
      <w:r>
        <w:rPr>
          <w:rFonts w:hint="eastAsia"/>
        </w:rPr>
        <w:t>个专业实验实训基地</w:t>
      </w:r>
      <w:r>
        <w:t>（</w:t>
      </w:r>
      <w:r>
        <w:rPr>
          <w:rFonts w:hint="eastAsia"/>
        </w:rPr>
        <w:t>中心</w:t>
      </w:r>
      <w:r>
        <w:t>）</w:t>
      </w:r>
      <w:r>
        <w:rPr>
          <w:rFonts w:hint="eastAsia"/>
        </w:rPr>
        <w:t>，电工电子与自动化技术、护理等国家职业教育实训基地及模具设计与制造、会计、园林技术等省级职业教育实训基地，建有</w:t>
      </w:r>
      <w:r>
        <w:t>170</w:t>
      </w:r>
      <w:r>
        <w:rPr>
          <w:rFonts w:hint="eastAsia"/>
        </w:rPr>
        <w:t>余个校外实训基地，教学仪器设备总值</w:t>
      </w:r>
      <w:r>
        <w:t>5515</w:t>
      </w:r>
      <w:r>
        <w:rPr>
          <w:rFonts w:hint="eastAsia"/>
        </w:rPr>
        <w:t>余万元，建有全国公共英语、计算机、执业医师和普通话等级测试考点和国家职业技能鉴定所。</w:t>
      </w:r>
    </w:p>
    <w:p>
      <w:pPr>
        <w:pStyle w:val="21"/>
        <w:keepNext w:val="0"/>
        <w:keepLines w:val="0"/>
        <w:pageBreakBefore w:val="0"/>
        <w:widowControl w:val="0"/>
        <w:kinsoku/>
        <w:wordWrap/>
        <w:overflowPunct/>
        <w:topLinePunct w:val="0"/>
        <w:autoSpaceDE/>
        <w:autoSpaceDN/>
        <w:bidi w:val="0"/>
        <w:adjustRightInd/>
        <w:snapToGrid/>
        <w:spacing w:before="120" w:after="120" w:line="520" w:lineRule="exact"/>
        <w:ind w:left="0" w:leftChars="0" w:right="0" w:rightChars="0" w:firstLine="480" w:firstLineChars="200"/>
        <w:jc w:val="both"/>
        <w:textAlignment w:val="auto"/>
      </w:pPr>
      <w:r>
        <w:rPr>
          <w:rFonts w:hint="eastAsia"/>
        </w:rPr>
        <w:t>学院现有教职工</w:t>
      </w:r>
      <w:r>
        <w:t>650</w:t>
      </w:r>
      <w:r>
        <w:rPr>
          <w:rFonts w:hint="eastAsia"/>
        </w:rPr>
        <w:t>人，其中正副教授</w:t>
      </w:r>
      <w:r>
        <w:t>146</w:t>
      </w:r>
      <w:r>
        <w:rPr>
          <w:rFonts w:hint="eastAsia"/>
        </w:rPr>
        <w:t>人，设有楚天技能名师岗位9个，一大批来自行业企业的专家、工程师和能工巧匠承担实践教学工作。学院常年聘请外国专家执教，并积极参与国际学术交流。</w:t>
      </w:r>
    </w:p>
    <w:p>
      <w:pPr>
        <w:pStyle w:val="21"/>
        <w:keepNext w:val="0"/>
        <w:keepLines w:val="0"/>
        <w:pageBreakBefore w:val="0"/>
        <w:widowControl w:val="0"/>
        <w:kinsoku/>
        <w:wordWrap/>
        <w:overflowPunct/>
        <w:topLinePunct w:val="0"/>
        <w:autoSpaceDE/>
        <w:autoSpaceDN/>
        <w:bidi w:val="0"/>
        <w:adjustRightInd/>
        <w:snapToGrid/>
        <w:spacing w:before="120" w:after="120" w:line="520" w:lineRule="exact"/>
        <w:ind w:left="0" w:leftChars="0" w:right="0" w:rightChars="0" w:firstLine="480" w:firstLineChars="200"/>
        <w:jc w:val="both"/>
        <w:textAlignment w:val="auto"/>
      </w:pPr>
      <w:r>
        <w:rPr>
          <w:rFonts w:hint="eastAsia"/>
        </w:rPr>
        <w:t>学院设有医学院、机械电子工程学院、经济与管理学院、计算机科学技术学院、艺术与传媒学院、教育学院、继续教育学院7个二级学院，开设28个专业，其中学前教育、会计专业是中央财政支持建设专业，电子信息工程技术、护理、临床医学专业是湖北省品牌专业，康复治疗技术专业是湖北省特色专业；临床医学、护理、康复治疗技术、工业机器人技术、物联网应用技术、学前教育、电子商务、会计、室内艺术设计等9个专业为国家高职教育创新发展行动计划骨干专业。各类在校生16000 余人，学生在国家级、省级技能大赛中获奖近400项。</w:t>
      </w:r>
    </w:p>
    <w:p>
      <w:pPr>
        <w:pStyle w:val="21"/>
        <w:keepNext w:val="0"/>
        <w:keepLines w:val="0"/>
        <w:pageBreakBefore w:val="0"/>
        <w:widowControl w:val="0"/>
        <w:kinsoku/>
        <w:wordWrap/>
        <w:overflowPunct/>
        <w:topLinePunct w:val="0"/>
        <w:autoSpaceDE/>
        <w:autoSpaceDN/>
        <w:bidi w:val="0"/>
        <w:adjustRightInd/>
        <w:snapToGrid/>
        <w:spacing w:before="120" w:after="120" w:line="520" w:lineRule="exact"/>
        <w:ind w:left="0" w:leftChars="0" w:right="0" w:rightChars="0" w:firstLine="480" w:firstLineChars="200"/>
        <w:jc w:val="both"/>
        <w:textAlignment w:val="auto"/>
      </w:pPr>
      <w:r>
        <w:rPr>
          <w:rFonts w:hint="eastAsia"/>
        </w:rPr>
        <w:t>学院以创建全省一流全国知名优质高职院校为目标，坚持“立足地方、贴近社会、产教融合、服务发展”办学宗旨，践行“质量立校、特色兴校、品牌强校”办学理念，推进开门办学、开放办学、开明办学，积极创新人才培养模式，全面提高人才培养质量，为社会输送各类高素质技术技能人才40000</w:t>
      </w:r>
      <w:r>
        <w:rPr>
          <w:rFonts w:hint="eastAsia"/>
          <w:lang w:eastAsia="zh-CN"/>
        </w:rPr>
        <w:t>余</w:t>
      </w:r>
      <w:r>
        <w:rPr>
          <w:rFonts w:hint="eastAsia"/>
        </w:rPr>
        <w:t>人。</w:t>
      </w:r>
    </w:p>
    <w:p>
      <w:pPr>
        <w:pStyle w:val="21"/>
        <w:keepNext w:val="0"/>
        <w:keepLines w:val="0"/>
        <w:pageBreakBefore w:val="0"/>
        <w:widowControl w:val="0"/>
        <w:kinsoku/>
        <w:wordWrap/>
        <w:overflowPunct/>
        <w:topLinePunct w:val="0"/>
        <w:autoSpaceDE/>
        <w:autoSpaceDN/>
        <w:bidi w:val="0"/>
        <w:adjustRightInd/>
        <w:snapToGrid/>
        <w:spacing w:before="120" w:after="120" w:line="520" w:lineRule="exact"/>
        <w:ind w:left="0" w:leftChars="0" w:right="0" w:rightChars="0" w:firstLine="480" w:firstLineChars="200"/>
        <w:jc w:val="both"/>
        <w:textAlignment w:val="auto"/>
      </w:pPr>
    </w:p>
    <w:p>
      <w:pPr>
        <w:pStyle w:val="21"/>
        <w:keepNext w:val="0"/>
        <w:keepLines w:val="0"/>
        <w:pageBreakBefore w:val="0"/>
        <w:widowControl w:val="0"/>
        <w:kinsoku/>
        <w:wordWrap/>
        <w:overflowPunct/>
        <w:topLinePunct w:val="0"/>
        <w:autoSpaceDE/>
        <w:autoSpaceDN/>
        <w:bidi w:val="0"/>
        <w:adjustRightInd/>
        <w:snapToGrid/>
        <w:spacing w:before="120" w:after="120" w:line="520" w:lineRule="exact"/>
        <w:ind w:left="0" w:leftChars="0" w:right="0" w:rightChars="0" w:firstLine="480" w:firstLineChars="200"/>
        <w:jc w:val="both"/>
        <w:textAlignment w:val="auto"/>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7"/>
        <w:spacing w:before="156" w:after="156"/>
      </w:pPr>
      <w:bookmarkStart w:id="3" w:name="_Toc503183000"/>
      <w:r>
        <w:rPr>
          <w:rFonts w:hint="eastAsia"/>
        </w:rPr>
        <w:t>第一章 2</w:t>
      </w:r>
      <w:r>
        <w:t>017</w:t>
      </w:r>
      <w:r>
        <w:rPr>
          <w:rFonts w:hint="eastAsia"/>
        </w:rPr>
        <w:t>届毕业生基本</w:t>
      </w:r>
      <w:r>
        <w:t>就业</w:t>
      </w:r>
      <w:r>
        <w:rPr>
          <w:rFonts w:hint="eastAsia"/>
        </w:rPr>
        <w:t>情况</w:t>
      </w:r>
      <w:bookmarkEnd w:id="0"/>
      <w:bookmarkEnd w:id="3"/>
    </w:p>
    <w:p>
      <w:pPr>
        <w:pStyle w:val="19"/>
        <w:spacing w:before="156" w:after="156"/>
      </w:pPr>
      <w:bookmarkStart w:id="4" w:name="_Toc500497033"/>
      <w:bookmarkStart w:id="5" w:name="_Toc503183001"/>
      <w:r>
        <w:rPr>
          <w:rFonts w:hint="eastAsia"/>
        </w:rPr>
        <w:t>一</w:t>
      </w:r>
      <w:r>
        <w:t>、</w:t>
      </w:r>
      <w:r>
        <w:rPr>
          <w:rFonts w:hint="eastAsia"/>
        </w:rPr>
        <w:t>2017届毕业</w:t>
      </w:r>
      <w:r>
        <w:t>生规模</w:t>
      </w:r>
      <w:r>
        <w:rPr>
          <w:rFonts w:hint="eastAsia"/>
        </w:rPr>
        <w:t>与结构</w:t>
      </w:r>
      <w:r>
        <w:t>分析</w:t>
      </w:r>
      <w:bookmarkEnd w:id="4"/>
      <w:bookmarkEnd w:id="5"/>
    </w:p>
    <w:p>
      <w:pPr>
        <w:pStyle w:val="29"/>
        <w:spacing w:before="156" w:after="156"/>
      </w:pPr>
      <w:bookmarkStart w:id="6" w:name="_Toc500497034"/>
      <w:bookmarkStart w:id="7" w:name="_Toc503183002"/>
      <w:r>
        <w:rPr>
          <w:rFonts w:hint="eastAsia"/>
        </w:rPr>
        <w:t>（一）毕业生总体及分性别</w:t>
      </w:r>
      <w:bookmarkEnd w:id="6"/>
      <w:r>
        <w:t>结构</w:t>
      </w:r>
      <w:r>
        <w:rPr>
          <w:rFonts w:hint="eastAsia"/>
        </w:rPr>
        <w:t>分布</w:t>
      </w:r>
      <w:bookmarkEnd w:id="7"/>
    </w:p>
    <w:p>
      <w:pPr>
        <w:pStyle w:val="21"/>
        <w:keepNext w:val="0"/>
        <w:keepLines w:val="0"/>
        <w:pageBreakBefore w:val="0"/>
        <w:widowControl w:val="0"/>
        <w:kinsoku/>
        <w:wordWrap/>
        <w:overflowPunct/>
        <w:topLinePunct w:val="0"/>
        <w:autoSpaceDE/>
        <w:autoSpaceDN/>
        <w:bidi w:val="0"/>
        <w:adjustRightInd/>
        <w:snapToGrid/>
        <w:spacing w:before="120" w:after="120" w:line="360" w:lineRule="auto"/>
        <w:ind w:left="0" w:leftChars="0" w:right="0" w:rightChars="0" w:firstLine="480" w:firstLineChars="200"/>
        <w:jc w:val="both"/>
        <w:textAlignment w:val="auto"/>
        <w:outlineLvl w:val="9"/>
      </w:pPr>
      <w:r>
        <w:t>总体来看</w:t>
      </w:r>
      <w:r>
        <w:rPr>
          <w:rFonts w:hint="eastAsia"/>
        </w:rPr>
        <w:t>，2017届毕业生共有3369人。分性别来看，男性毕业生人数要明显少于女性，男女人数比为</w:t>
      </w:r>
      <w:r>
        <w:t>0.56</w:t>
      </w:r>
      <w:r>
        <w:rPr>
          <w:rFonts w:hint="eastAsia"/>
        </w:rPr>
        <w:t>:1。其中男性毕业生有1204人，占比35.74%；女性毕业生有2165人，占比64.26%。</w:t>
      </w:r>
    </w:p>
    <w:p>
      <w:pPr>
        <w:widowControl/>
        <w:jc w:val="center"/>
        <w:rPr>
          <w:rFonts w:ascii="宋体" w:hAnsi="宋体" w:eastAsia="宋体" w:cs="宋体"/>
          <w:kern w:val="0"/>
          <w:sz w:val="24"/>
          <w:szCs w:val="24"/>
        </w:rPr>
      </w:pPr>
      <w:r>
        <w:rPr>
          <w:rFonts w:ascii="宋体" w:hAnsi="宋体" w:eastAsia="宋体" w:cs="宋体"/>
          <w:kern w:val="0"/>
          <w:sz w:val="24"/>
          <w:szCs w:val="24"/>
        </w:rPr>
        <w:pict>
          <v:shape id="_x0000_s1026" o:spid="_x0000_s1026" o:spt="202" type="#_x0000_t202" style="position:absolute;left:0pt;margin-left:92.95pt;margin-top:58.7pt;height:39.35pt;width:75.65pt;z-index:251659264;mso-width-relative:margin;mso-height-relative:margin;"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">
            <v:path/>
            <v:fill focussize="0,0"/>
            <v:stroke on="f" joinstyle="miter"/>
            <v:imagedata o:title=""/>
            <o:lock v:ext="edit"/>
            <v:textbox>
              <w:txbxContent>
                <w:p>
                  <w:pPr>
                    <w:rPr>
                      <w:rFonts w:asciiTheme="minorEastAsia" w:hAnsiTheme="minorEastAsia"/>
                      <w:sz w:val="20"/>
                      <w:szCs w:val="20"/>
                    </w:rPr>
                  </w:pPr>
                  <w:r>
                    <w:rPr>
                      <w:rFonts w:hint="eastAsia" w:asciiTheme="minorEastAsia" w:hAnsiTheme="minorEastAsia"/>
                      <w:sz w:val="20"/>
                      <w:szCs w:val="20"/>
                    </w:rPr>
                    <w:t>男</w:t>
                  </w:r>
                  <w:r>
                    <w:rPr>
                      <w:rFonts w:asciiTheme="minorEastAsia" w:hAnsiTheme="minorEastAsia"/>
                      <w:sz w:val="20"/>
                      <w:szCs w:val="20"/>
                    </w:rPr>
                    <w:t>性</w:t>
                  </w:r>
                </w:p>
                <w:p>
                  <w:pPr>
                    <w:rPr>
                      <w:rFonts w:asciiTheme="minorEastAsia" w:hAnsiTheme="minorEastAsia"/>
                      <w:sz w:val="20"/>
                      <w:szCs w:val="20"/>
                    </w:rPr>
                  </w:pPr>
                  <w:r>
                    <w:rPr>
                      <w:rFonts w:asciiTheme="minorEastAsia" w:hAnsiTheme="minorEastAsia"/>
                      <w:sz w:val="20"/>
                      <w:szCs w:val="20"/>
                    </w:rPr>
                    <w:t>1204</w:t>
                  </w:r>
                  <w:r>
                    <w:rPr>
                      <w:rFonts w:hint="eastAsia" w:asciiTheme="minorEastAsia" w:hAnsiTheme="minorEastAsia"/>
                      <w:sz w:val="20"/>
                      <w:szCs w:val="20"/>
                    </w:rPr>
                    <w:t>,35.74%</w:t>
                  </w:r>
                </w:p>
              </w:txbxContent>
            </v:textbox>
          </v:shape>
        </w:pict>
      </w:r>
      <w:r>
        <w:rPr>
          <w:rFonts w:ascii="宋体" w:hAnsi="宋体" w:eastAsia="宋体" w:cs="宋体"/>
          <w:kern w:val="0"/>
          <w:sz w:val="24"/>
          <w:szCs w:val="24"/>
        </w:rPr>
        <w:pict>
          <v:shape id="_x0000_s1027" o:spid="_x0000_s1027" o:spt="202" type="#_x0000_t202" style="position:absolute;left:0pt;margin-left:248.25pt;margin-top:57.2pt;height:46.1pt;width:80.15pt;z-index:251662336;mso-width-relative:margin;mso-height-relative:margin;" fillcolor="#FFFFFF" filled="t"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">
            <v:path/>
            <v:fill on="t" color2="#FFFFFF" focussize="0,0"/>
            <v:stroke on="f"/>
            <v:imagedata o:title=""/>
            <o:lock v:ext="edit" aspectratio="f"/>
            <v:textbox>
              <w:txbxContent>
                <w:p>
                  <w:pPr>
                    <w:rPr>
                      <w:rFonts w:hint="eastAsia" w:asciiTheme="minorEastAsia" w:hAnsiTheme="minorEastAsia"/>
                      <w:sz w:val="20"/>
                      <w:szCs w:val="20"/>
                      <w:lang w:eastAsia="zh-CN"/>
                    </w:rPr>
                  </w:pPr>
                  <w:r>
                    <w:rPr>
                      <w:rFonts w:hint="eastAsia" w:asciiTheme="minorEastAsia" w:hAnsiTheme="minorEastAsia"/>
                      <w:sz w:val="20"/>
                      <w:szCs w:val="20"/>
                      <w:lang w:eastAsia="zh-CN"/>
                    </w:rPr>
                    <w:t>女性</w:t>
                  </w:r>
                </w:p>
                <w:p>
                  <w:pPr>
                    <w:rPr>
                      <w:rFonts w:hint="eastAsia" w:asciiTheme="minorEastAsia" w:hAnsiTheme="minorEastAsia"/>
                      <w:sz w:val="20"/>
                      <w:szCs w:val="20"/>
                      <w:lang w:val="en-US" w:eastAsia="zh-CN"/>
                    </w:rPr>
                  </w:pPr>
                  <w:r>
                    <w:rPr>
                      <w:rFonts w:hint="eastAsia" w:asciiTheme="minorEastAsia" w:hAnsiTheme="minorEastAsia"/>
                      <w:sz w:val="20"/>
                      <w:szCs w:val="20"/>
                      <w:lang w:val="en-US" w:eastAsia="zh-CN"/>
                    </w:rPr>
                    <w:t>2165，</w:t>
                  </w:r>
                  <w:r>
                    <w:rPr>
                      <w:rFonts w:hint="eastAsia" w:asciiTheme="minorEastAsia" w:hAnsiTheme="minorEastAsia"/>
                      <w:sz w:val="20"/>
                      <w:szCs w:val="20"/>
                    </w:rPr>
                    <w:t>64.26%</w:t>
                  </w:r>
                </w:p>
              </w:txbxContent>
            </v:textbox>
          </v:shape>
        </w:pict>
      </w:r>
      <w:r>
        <w:rPr>
          <w:rFonts w:ascii="宋体" w:hAnsi="宋体" w:eastAsia="宋体" w:cs="宋体"/>
          <w:kern w:val="0"/>
          <w:sz w:val="24"/>
          <w:szCs w:val="24"/>
        </w:rPr>
        <w:drawing>
          <wp:inline distT="0" distB="0" distL="0" distR="0">
            <wp:extent cx="1912620" cy="1920875"/>
            <wp:effectExtent l="0" t="0" r="11430" b="317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ascii="宋体" w:hAnsi="宋体" w:eastAsia="宋体" w:cs="宋体"/>
          <w:kern w:val="0"/>
          <w:sz w:val="24"/>
          <w:szCs w:val="24"/>
        </w:rPr>
        <w:drawing>
          <wp:inline distT="0" distB="0" distL="0" distR="0">
            <wp:extent cx="1943735" cy="1920875"/>
            <wp:effectExtent l="0" t="0" r="18415" b="317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Start w:id="115" w:name="_GoBack"/>
      <w:bookmarkEnd w:id="115"/>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1</w:t>
      </w:r>
      <w:r>
        <w:rPr>
          <w:szCs w:val="18"/>
        </w:rPr>
        <w:fldChar w:fldCharType="end"/>
      </w:r>
      <w:r>
        <w:rPr>
          <w:rFonts w:hint="eastAsia"/>
          <w:szCs w:val="18"/>
        </w:rPr>
        <w:t xml:space="preserve"> 2017届</w:t>
      </w:r>
      <w:r>
        <w:rPr>
          <w:rFonts w:hint="eastAsia" w:hAnsi="宋体" w:cs="宋体"/>
          <w:kern w:val="0"/>
          <w:szCs w:val="18"/>
        </w:rPr>
        <w:t>毕业生总体及分性别结构分布</w:t>
      </w:r>
    </w:p>
    <w:p>
      <w:pPr>
        <w:pStyle w:val="29"/>
        <w:spacing w:before="156" w:after="156"/>
      </w:pPr>
      <w:bookmarkStart w:id="8" w:name="_Toc503183003"/>
      <w:r>
        <w:rPr>
          <w:rFonts w:hint="eastAsia"/>
        </w:rPr>
        <w:t>（二）毕业生分二级学院和</w:t>
      </w:r>
      <w:r>
        <w:t>专业</w:t>
      </w:r>
      <w:r>
        <w:rPr>
          <w:rFonts w:hint="eastAsia"/>
        </w:rPr>
        <w:t>结构分布</w:t>
      </w:r>
      <w:bookmarkEnd w:id="8"/>
    </w:p>
    <w:p>
      <w:pPr>
        <w:pStyle w:val="21"/>
        <w:ind w:firstLine="480"/>
      </w:pPr>
      <w:r>
        <w:t>分二级学院来看</w:t>
      </w:r>
      <w:r>
        <w:rPr>
          <w:rFonts w:hint="eastAsia"/>
        </w:rPr>
        <w:t>，2017届毕业生分布在6个学院。学生人数排名前三的二级学院分别是医学院（2090人），占比62.04%；机械电子工程学院（391人），占比11.61%；经济与管理学院（345人），占比10.24%。</w:t>
      </w:r>
    </w:p>
    <w:p>
      <w:pPr>
        <w:pStyle w:val="21"/>
        <w:ind w:firstLine="480"/>
      </w:pPr>
      <w:r>
        <w:rPr>
          <w:rFonts w:hint="eastAsia"/>
        </w:rPr>
        <w:t>分</w:t>
      </w:r>
      <w:r>
        <w:t>专业来看，</w:t>
      </w:r>
      <w:r>
        <w:rPr>
          <w:rFonts w:hint="eastAsia"/>
        </w:rPr>
        <w:t>2017届毕业生分布在26个专业。学生</w:t>
      </w:r>
      <w:r>
        <w:t>人数排名前三的专业分别是</w:t>
      </w:r>
      <w:r>
        <w:rPr>
          <w:rFonts w:hint="eastAsia"/>
        </w:rPr>
        <w:t>护理（1146人），占比</w:t>
      </w:r>
      <w:r>
        <w:t>34.02%</w:t>
      </w:r>
      <w:r>
        <w:rPr>
          <w:rFonts w:hint="eastAsia"/>
        </w:rPr>
        <w:t>；临床医学（855人），占比</w:t>
      </w:r>
      <w:r>
        <w:t>25.38%</w:t>
      </w:r>
      <w:r>
        <w:rPr>
          <w:rFonts w:hint="eastAsia"/>
        </w:rPr>
        <w:t>；学前教育（261人），占比</w:t>
      </w:r>
      <w:r>
        <w:t>7.75%</w:t>
      </w:r>
      <w:r>
        <w:rPr>
          <w:rFonts w:hint="eastAsia"/>
        </w:rPr>
        <w:t>。</w:t>
      </w:r>
    </w:p>
    <w:p>
      <w:pPr>
        <w:pStyle w:val="23"/>
        <w:rPr>
          <w:rFonts w:hAnsi="宋体" w:cs="宋体"/>
          <w:kern w:val="0"/>
          <w:szCs w:val="18"/>
        </w:rPr>
      </w:pPr>
      <w:r>
        <w:rPr>
          <w:rFonts w:hint="eastAsia"/>
          <w:szCs w:val="18"/>
        </w:rPr>
        <w:t>表1-</w:t>
      </w:r>
      <w:r>
        <w:rPr>
          <w:szCs w:val="18"/>
        </w:rPr>
        <w:fldChar w:fldCharType="begin"/>
      </w:r>
      <w:r>
        <w:rPr>
          <w:rFonts w:hint="eastAsia"/>
          <w:szCs w:val="18"/>
        </w:rPr>
        <w:instrText xml:space="preserve">SEQ 表1- \* ARABIC</w:instrText>
      </w:r>
      <w:r>
        <w:rPr>
          <w:szCs w:val="18"/>
        </w:rPr>
        <w:fldChar w:fldCharType="separate"/>
      </w:r>
      <w:r>
        <w:rPr>
          <w:szCs w:val="18"/>
        </w:rPr>
        <w:t>1</w:t>
      </w:r>
      <w:r>
        <w:rPr>
          <w:szCs w:val="18"/>
        </w:rPr>
        <w:fldChar w:fldCharType="end"/>
      </w:r>
      <w:r>
        <w:rPr>
          <w:szCs w:val="18"/>
        </w:rPr>
        <w:t xml:space="preserve"> 2017</w:t>
      </w:r>
      <w:r>
        <w:rPr>
          <w:rFonts w:hint="eastAsia"/>
          <w:szCs w:val="18"/>
        </w:rPr>
        <w:t>届</w:t>
      </w:r>
      <w:r>
        <w:rPr>
          <w:rFonts w:hint="eastAsia" w:hAnsi="宋体" w:cs="宋体"/>
          <w:kern w:val="0"/>
          <w:szCs w:val="18"/>
        </w:rPr>
        <w:t>毕业生分院系和</w:t>
      </w:r>
      <w:r>
        <w:rPr>
          <w:rFonts w:hAnsi="宋体" w:cs="宋体"/>
          <w:kern w:val="0"/>
          <w:szCs w:val="18"/>
        </w:rPr>
        <w:t>专业</w:t>
      </w:r>
      <w:r>
        <w:rPr>
          <w:rFonts w:hint="eastAsia" w:hAnsi="宋体" w:cs="宋体"/>
          <w:kern w:val="0"/>
          <w:szCs w:val="18"/>
        </w:rPr>
        <w:t>结构分布</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比例（</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blHeader/>
        </w:trPr>
        <w:tc>
          <w:tcPr>
            <w:tcW w:w="2130"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学院</w:t>
            </w:r>
          </w:p>
        </w:tc>
        <w:tc>
          <w:tcPr>
            <w:tcW w:w="213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专业</w:t>
            </w:r>
          </w:p>
        </w:tc>
        <w:tc>
          <w:tcPr>
            <w:tcW w:w="2131"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人数</w:t>
            </w:r>
          </w:p>
        </w:tc>
        <w:tc>
          <w:tcPr>
            <w:tcW w:w="2131"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比例</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30" w:type="dxa"/>
            <w:vMerge w:val="restart"/>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r>
              <w:rPr>
                <w:rFonts w:cs="Tahoma" w:asciiTheme="majorEastAsia" w:hAnsiTheme="majorEastAsia" w:eastAsiaTheme="majorEastAsia"/>
                <w:b w:val="0"/>
                <w:bCs w:val="0"/>
                <w:color w:val="000000"/>
                <w:kern w:val="0"/>
                <w:sz w:val="18"/>
                <w:szCs w:val="18"/>
              </w:rPr>
              <w:t>医学院</w:t>
            </w: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护理</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1146</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34.02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康复治疗技术</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83</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2.46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临床医学</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855</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25.38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眼视光技术</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0.18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2131" w:type="dxa"/>
            <w:shd w:val="clear" w:color="auto" w:fill="DEEAF6" w:themeFill="accent1" w:themeFillTint="33"/>
            <w:vAlign w:val="center"/>
          </w:tcPr>
          <w:p>
            <w:pPr>
              <w:widowControl/>
              <w:jc w:val="center"/>
              <w:rPr>
                <w:rFonts w:cs="Tahoma" w:asciiTheme="majorEastAsia" w:hAnsiTheme="majorEastAsia" w:eastAsiaTheme="majorEastAsia"/>
                <w:b/>
                <w:bCs/>
                <w:color w:val="000000"/>
                <w:kern w:val="0"/>
                <w:sz w:val="18"/>
                <w:szCs w:val="18"/>
              </w:rPr>
            </w:pPr>
            <w:r>
              <w:rPr>
                <w:rFonts w:cs="Tahoma" w:asciiTheme="majorEastAsia" w:hAnsiTheme="majorEastAsia" w:eastAsiaTheme="majorEastAsia"/>
                <w:b/>
                <w:bCs/>
                <w:color w:val="000000"/>
                <w:kern w:val="0"/>
                <w:sz w:val="18"/>
                <w:szCs w:val="18"/>
              </w:rPr>
              <w:t>2090</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62.04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restart"/>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r>
              <w:rPr>
                <w:rFonts w:cs="Tahoma" w:asciiTheme="majorEastAsia" w:hAnsiTheme="majorEastAsia" w:eastAsiaTheme="majorEastAsia"/>
                <w:b w:val="0"/>
                <w:bCs w:val="0"/>
                <w:color w:val="000000"/>
                <w:kern w:val="0"/>
                <w:sz w:val="18"/>
                <w:szCs w:val="18"/>
              </w:rPr>
              <w:t>机械电子工程学院</w:t>
            </w: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机电一体化技术</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136</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4.04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模具设计与制造</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19</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0.56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汽车检测与维修技术</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105</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数控技术</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0.30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应用电子技术</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121</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3.59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2131" w:type="dxa"/>
            <w:shd w:val="clear" w:color="auto" w:fill="DEEAF6" w:themeFill="accent1" w:themeFillTint="33"/>
            <w:vAlign w:val="center"/>
          </w:tcPr>
          <w:p>
            <w:pPr>
              <w:widowControl/>
              <w:jc w:val="center"/>
              <w:rPr>
                <w:rFonts w:cs="Tahoma" w:asciiTheme="majorEastAsia" w:hAnsiTheme="majorEastAsia" w:eastAsiaTheme="majorEastAsia"/>
                <w:b/>
                <w:bCs/>
                <w:color w:val="000000"/>
                <w:kern w:val="0"/>
                <w:sz w:val="18"/>
                <w:szCs w:val="18"/>
              </w:rPr>
            </w:pPr>
            <w:r>
              <w:rPr>
                <w:rFonts w:cs="Tahoma" w:asciiTheme="majorEastAsia" w:hAnsiTheme="majorEastAsia" w:eastAsiaTheme="majorEastAsia"/>
                <w:b/>
                <w:bCs/>
                <w:color w:val="000000"/>
                <w:kern w:val="0"/>
                <w:sz w:val="18"/>
                <w:szCs w:val="18"/>
              </w:rPr>
              <w:t>391</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11.61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restart"/>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r>
              <w:rPr>
                <w:rFonts w:cs="Tahoma" w:asciiTheme="majorEastAsia" w:hAnsiTheme="majorEastAsia" w:eastAsiaTheme="majorEastAsia"/>
                <w:b w:val="0"/>
                <w:bCs w:val="0"/>
                <w:color w:val="000000"/>
                <w:kern w:val="0"/>
                <w:sz w:val="18"/>
                <w:szCs w:val="18"/>
              </w:rPr>
              <w:t>经济与管理学院</w:t>
            </w: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会计</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126</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3.74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建筑工程技术</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69</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酒店管理</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71</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2.11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物流管理</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0.95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医药营销</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0.45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园林技术</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0.95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2131" w:type="dxa"/>
            <w:vAlign w:val="center"/>
          </w:tcPr>
          <w:p>
            <w:pPr>
              <w:widowControl/>
              <w:jc w:val="center"/>
              <w:rPr>
                <w:rFonts w:cs="Tahoma" w:asciiTheme="majorEastAsia" w:hAnsiTheme="majorEastAsia" w:eastAsiaTheme="majorEastAsia"/>
                <w:b/>
                <w:bCs/>
                <w:color w:val="000000"/>
                <w:kern w:val="0"/>
                <w:sz w:val="18"/>
                <w:szCs w:val="18"/>
              </w:rPr>
            </w:pPr>
            <w:r>
              <w:rPr>
                <w:rFonts w:cs="Tahoma" w:asciiTheme="majorEastAsia" w:hAnsiTheme="majorEastAsia" w:eastAsiaTheme="majorEastAsia"/>
                <w:b/>
                <w:bCs/>
                <w:color w:val="000000"/>
                <w:kern w:val="0"/>
                <w:sz w:val="18"/>
                <w:szCs w:val="18"/>
              </w:rPr>
              <w:t>345</w:t>
            </w:r>
          </w:p>
        </w:tc>
        <w:tc>
          <w:tcPr>
            <w:tcW w:w="2131"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10.24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restart"/>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r>
              <w:rPr>
                <w:rFonts w:cs="Tahoma" w:asciiTheme="majorEastAsia" w:hAnsiTheme="majorEastAsia" w:eastAsiaTheme="majorEastAsia"/>
                <w:b w:val="0"/>
                <w:bCs w:val="0"/>
                <w:color w:val="000000"/>
                <w:kern w:val="0"/>
                <w:sz w:val="18"/>
                <w:szCs w:val="18"/>
              </w:rPr>
              <w:t>教育学院</w:t>
            </w: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学前教育</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261</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7.75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2131" w:type="dxa"/>
            <w:vAlign w:val="center"/>
          </w:tcPr>
          <w:p>
            <w:pPr>
              <w:widowControl/>
              <w:jc w:val="center"/>
              <w:rPr>
                <w:rFonts w:cs="Tahoma" w:asciiTheme="majorEastAsia" w:hAnsiTheme="majorEastAsia" w:eastAsiaTheme="majorEastAsia"/>
                <w:b/>
                <w:bCs/>
                <w:color w:val="000000"/>
                <w:kern w:val="0"/>
                <w:sz w:val="18"/>
                <w:szCs w:val="18"/>
              </w:rPr>
            </w:pPr>
            <w:r>
              <w:rPr>
                <w:rFonts w:cs="Tahoma" w:asciiTheme="majorEastAsia" w:hAnsiTheme="majorEastAsia" w:eastAsiaTheme="majorEastAsia"/>
                <w:b/>
                <w:bCs/>
                <w:color w:val="000000"/>
                <w:kern w:val="0"/>
                <w:sz w:val="18"/>
                <w:szCs w:val="18"/>
              </w:rPr>
              <w:t>261</w:t>
            </w:r>
          </w:p>
        </w:tc>
        <w:tc>
          <w:tcPr>
            <w:tcW w:w="2131"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7.75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restart"/>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r>
              <w:rPr>
                <w:rFonts w:cs="Tahoma" w:asciiTheme="majorEastAsia" w:hAnsiTheme="majorEastAsia" w:eastAsiaTheme="majorEastAsia"/>
                <w:b w:val="0"/>
                <w:bCs w:val="0"/>
                <w:color w:val="000000"/>
                <w:kern w:val="0"/>
                <w:sz w:val="18"/>
                <w:szCs w:val="18"/>
              </w:rPr>
              <w:t>计算机科学技术学院</w:t>
            </w: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计算机网络技术</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48</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1.42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楼宇智能化工程技术</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2.79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嵌入式技术与应用</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44</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软件开发与项目管理</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0.83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2131" w:type="dxa"/>
            <w:shd w:val="clear" w:color="auto" w:fill="DEEAF6" w:themeFill="accent1" w:themeFillTint="33"/>
            <w:vAlign w:val="center"/>
          </w:tcPr>
          <w:p>
            <w:pPr>
              <w:widowControl/>
              <w:jc w:val="center"/>
              <w:rPr>
                <w:rFonts w:cs="Tahoma" w:asciiTheme="majorEastAsia" w:hAnsiTheme="majorEastAsia" w:eastAsiaTheme="majorEastAsia"/>
                <w:b/>
                <w:bCs/>
                <w:color w:val="000000"/>
                <w:kern w:val="0"/>
                <w:sz w:val="18"/>
                <w:szCs w:val="18"/>
              </w:rPr>
            </w:pPr>
            <w:r>
              <w:rPr>
                <w:rFonts w:cs="Tahoma" w:asciiTheme="majorEastAsia" w:hAnsiTheme="majorEastAsia" w:eastAsiaTheme="majorEastAsia"/>
                <w:b/>
                <w:bCs/>
                <w:color w:val="000000"/>
                <w:kern w:val="0"/>
                <w:sz w:val="18"/>
                <w:szCs w:val="18"/>
              </w:rPr>
              <w:t>214</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6.35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restart"/>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r>
              <w:rPr>
                <w:rFonts w:cs="Tahoma" w:asciiTheme="majorEastAsia" w:hAnsiTheme="majorEastAsia" w:eastAsiaTheme="majorEastAsia"/>
                <w:b w:val="0"/>
                <w:bCs w:val="0"/>
                <w:color w:val="000000"/>
                <w:kern w:val="0"/>
                <w:sz w:val="18"/>
                <w:szCs w:val="18"/>
              </w:rPr>
              <w:t>艺术与传媒学院</w:t>
            </w: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服装设计</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0.33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社会体育</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数字媒体设计与制作</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0.36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新闻采编与制作</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0.24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主持与播音</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w:t>
            </w:r>
          </w:p>
        </w:tc>
        <w:tc>
          <w:tcPr>
            <w:tcW w:w="213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0.12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装潢艺术设计</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0.92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vMerge w:val="continue"/>
            <w:shd w:val="clear" w:color="auto" w:fill="FFFFFF" w:themeFill="background1"/>
            <w:vAlign w:val="center"/>
          </w:tcPr>
          <w:p>
            <w:pPr>
              <w:widowControl/>
              <w:jc w:val="center"/>
              <w:rPr>
                <w:rFonts w:cs="Tahoma" w:asciiTheme="majorEastAsia" w:hAnsiTheme="majorEastAsia" w:eastAsiaTheme="majorEastAsia"/>
                <w:b w:val="0"/>
                <w:bCs w:val="0"/>
                <w:color w:val="000000"/>
                <w:kern w:val="0"/>
                <w:sz w:val="18"/>
                <w:szCs w:val="18"/>
              </w:rPr>
            </w:pPr>
          </w:p>
        </w:tc>
        <w:tc>
          <w:tcPr>
            <w:tcW w:w="2130"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2131" w:type="dxa"/>
            <w:vAlign w:val="center"/>
          </w:tcPr>
          <w:p>
            <w:pPr>
              <w:widowControl/>
              <w:jc w:val="center"/>
              <w:rPr>
                <w:rFonts w:cs="Tahoma" w:asciiTheme="majorEastAsia" w:hAnsiTheme="majorEastAsia" w:eastAsiaTheme="majorEastAsia"/>
                <w:b/>
                <w:bCs/>
                <w:color w:val="000000"/>
                <w:kern w:val="0"/>
                <w:sz w:val="18"/>
                <w:szCs w:val="18"/>
              </w:rPr>
            </w:pPr>
            <w:r>
              <w:rPr>
                <w:rFonts w:cs="Tahoma" w:asciiTheme="majorEastAsia" w:hAnsiTheme="majorEastAsia" w:eastAsiaTheme="majorEastAsia"/>
                <w:b/>
                <w:bCs/>
                <w:color w:val="000000"/>
                <w:kern w:val="0"/>
                <w:sz w:val="18"/>
                <w:szCs w:val="18"/>
              </w:rPr>
              <w:t>68</w:t>
            </w:r>
          </w:p>
        </w:tc>
        <w:tc>
          <w:tcPr>
            <w:tcW w:w="2131"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2.02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4260" w:type="dxa"/>
            <w:gridSpan w:val="2"/>
            <w:shd w:val="clear" w:color="auto" w:fill="DEEAF6" w:themeFill="accent1" w:themeFillTint="33"/>
            <w:vAlign w:val="center"/>
          </w:tcPr>
          <w:p>
            <w:pPr>
              <w:widowControl/>
              <w:jc w:val="center"/>
              <w:rPr>
                <w:rFonts w:cs="宋体" w:asciiTheme="majorEastAsia" w:hAnsiTheme="majorEastAsia" w:eastAsiaTheme="majorEastAsia"/>
                <w:b/>
                <w:bCs w:val="0"/>
                <w:color w:val="000000"/>
                <w:kern w:val="0"/>
                <w:sz w:val="18"/>
                <w:szCs w:val="18"/>
              </w:rPr>
            </w:pPr>
            <w:r>
              <w:rPr>
                <w:rFonts w:hint="eastAsia" w:cs="宋体" w:asciiTheme="majorEastAsia" w:hAnsiTheme="majorEastAsia" w:eastAsiaTheme="majorEastAsia"/>
                <w:b/>
                <w:bCs w:val="0"/>
                <w:color w:val="000000"/>
                <w:kern w:val="0"/>
                <w:sz w:val="18"/>
                <w:szCs w:val="18"/>
              </w:rPr>
              <w:t>总计</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3369</w:t>
            </w:r>
          </w:p>
        </w:tc>
        <w:tc>
          <w:tcPr>
            <w:tcW w:w="2131"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100.00</w:t>
            </w:r>
          </w:p>
        </w:tc>
      </w:tr>
    </w:tbl>
    <w:p>
      <w:pPr>
        <w:pStyle w:val="29"/>
        <w:spacing w:before="156" w:after="156"/>
      </w:pPr>
      <w:bookmarkStart w:id="9" w:name="_Toc503183004"/>
      <w:r>
        <w:rPr>
          <w:rFonts w:hint="eastAsia"/>
        </w:rPr>
        <w:t>（三）毕业生分生源地结构分布</w:t>
      </w:r>
      <w:bookmarkEnd w:id="9"/>
    </w:p>
    <w:p>
      <w:pPr>
        <w:pStyle w:val="21"/>
        <w:ind w:firstLine="480"/>
      </w:pPr>
      <w:r>
        <w:rPr>
          <w:rFonts w:hint="eastAsia"/>
        </w:rPr>
        <w:t>2017届省内生源毕业生与省外生源毕业生人数比为</w:t>
      </w:r>
      <w:r>
        <w:t>3.30</w:t>
      </w:r>
      <w:r>
        <w:rPr>
          <w:rFonts w:hint="eastAsia"/>
        </w:rPr>
        <w:t>:1。其中省内生源毕业生有2585人，占比76.73%；省外生源毕业生有784人，占比23.27%。</w:t>
      </w:r>
    </w:p>
    <w:p>
      <w:pPr>
        <w:pStyle w:val="21"/>
        <w:ind w:firstLine="480"/>
      </w:pPr>
      <w:r>
        <w:t>省外生源</w:t>
      </w:r>
      <w:r>
        <w:rPr>
          <w:rFonts w:hint="eastAsia"/>
        </w:rPr>
        <w:t>中，排名前三的省份分别是贵州省、西藏自治区、河南省，占比分别为4.19%、3</w:t>
      </w:r>
      <w:r>
        <w:t>.95</w:t>
      </w:r>
      <w:r>
        <w:rPr>
          <w:rFonts w:hint="eastAsia"/>
        </w:rPr>
        <w:t>%、3</w:t>
      </w:r>
      <w:r>
        <w:t>.00</w:t>
      </w:r>
      <w:r>
        <w:rPr>
          <w:rFonts w:hint="eastAsia"/>
        </w:rPr>
        <w:t>%。</w:t>
      </w:r>
    </w:p>
    <w:p>
      <w:pPr>
        <w:pStyle w:val="23"/>
        <w:rPr>
          <w:szCs w:val="18"/>
        </w:rPr>
      </w:pPr>
    </w:p>
    <w:p>
      <w:pPr>
        <w:pStyle w:val="23"/>
        <w:rPr>
          <w:szCs w:val="18"/>
        </w:rPr>
      </w:pPr>
    </w:p>
    <w:p>
      <w:pPr>
        <w:pStyle w:val="23"/>
        <w:rPr>
          <w:szCs w:val="18"/>
        </w:rPr>
      </w:pPr>
    </w:p>
    <w:p>
      <w:pPr>
        <w:pStyle w:val="23"/>
        <w:rPr>
          <w:szCs w:val="18"/>
        </w:rPr>
      </w:pPr>
    </w:p>
    <w:p>
      <w:pPr>
        <w:pStyle w:val="23"/>
        <w:rPr>
          <w:szCs w:val="18"/>
        </w:rPr>
      </w:pPr>
    </w:p>
    <w:p>
      <w:pPr>
        <w:pStyle w:val="23"/>
        <w:rPr>
          <w:rFonts w:hAnsi="宋体" w:cs="宋体"/>
          <w:kern w:val="0"/>
          <w:szCs w:val="18"/>
        </w:rPr>
      </w:pPr>
      <w:r>
        <w:rPr>
          <w:rFonts w:hint="eastAsia"/>
          <w:szCs w:val="18"/>
        </w:rPr>
        <w:t>表1-</w:t>
      </w:r>
      <w:r>
        <w:rPr>
          <w:szCs w:val="18"/>
        </w:rPr>
        <w:fldChar w:fldCharType="begin"/>
      </w:r>
      <w:r>
        <w:rPr>
          <w:rFonts w:hint="eastAsia"/>
          <w:szCs w:val="18"/>
        </w:rPr>
        <w:instrText xml:space="preserve">SEQ 表1- \* ARABIC</w:instrText>
      </w:r>
      <w:r>
        <w:rPr>
          <w:szCs w:val="18"/>
        </w:rPr>
        <w:fldChar w:fldCharType="separate"/>
      </w:r>
      <w:r>
        <w:rPr>
          <w:szCs w:val="18"/>
        </w:rPr>
        <w:t>2</w:t>
      </w:r>
      <w:r>
        <w:rPr>
          <w:szCs w:val="18"/>
        </w:rPr>
        <w:fldChar w:fldCharType="end"/>
      </w:r>
      <w:r>
        <w:rPr>
          <w:szCs w:val="18"/>
        </w:rPr>
        <w:t xml:space="preserve"> 2017</w:t>
      </w:r>
      <w:r>
        <w:rPr>
          <w:rFonts w:hint="eastAsia"/>
          <w:szCs w:val="18"/>
        </w:rPr>
        <w:t>届</w:t>
      </w:r>
      <w:r>
        <w:rPr>
          <w:rFonts w:hint="eastAsia" w:hAnsi="宋体" w:cs="宋体"/>
          <w:kern w:val="0"/>
          <w:szCs w:val="18"/>
        </w:rPr>
        <w:t>毕业生分生源地结构分布</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比例（</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421"/>
        <w:gridCol w:w="1420"/>
        <w:gridCol w:w="1420"/>
        <w:gridCol w:w="1420"/>
        <w:gridCol w:w="1420"/>
        <w:gridCol w:w="1421"/>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blHeader/>
        </w:trPr>
        <w:tc>
          <w:tcPr>
            <w:tcW w:w="1421"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类别</w:t>
            </w:r>
          </w:p>
        </w:tc>
        <w:tc>
          <w:tcPr>
            <w:tcW w:w="142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人数</w:t>
            </w:r>
          </w:p>
        </w:tc>
        <w:tc>
          <w:tcPr>
            <w:tcW w:w="142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比例</w:t>
            </w:r>
          </w:p>
        </w:tc>
        <w:tc>
          <w:tcPr>
            <w:tcW w:w="142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类别</w:t>
            </w:r>
          </w:p>
        </w:tc>
        <w:tc>
          <w:tcPr>
            <w:tcW w:w="142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人数</w:t>
            </w:r>
          </w:p>
        </w:tc>
        <w:tc>
          <w:tcPr>
            <w:tcW w:w="1421"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比例</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湖北</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2585</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76.73</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省外</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784</w:t>
            </w:r>
          </w:p>
        </w:tc>
        <w:tc>
          <w:tcPr>
            <w:tcW w:w="1421"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23.27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8522" w:type="dxa"/>
            <w:gridSpan w:val="6"/>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省外生源地分布</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贵州</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141</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4.19</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福建</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17</w:t>
            </w:r>
          </w:p>
        </w:tc>
        <w:tc>
          <w:tcPr>
            <w:tcW w:w="1421"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0.50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西藏</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133</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3.95</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青海</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16</w:t>
            </w:r>
          </w:p>
        </w:tc>
        <w:tc>
          <w:tcPr>
            <w:tcW w:w="1421"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0.47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421"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河南</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101</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3.00</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广东</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13</w:t>
            </w:r>
          </w:p>
        </w:tc>
        <w:tc>
          <w:tcPr>
            <w:tcW w:w="1421"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0.39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浙江</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77</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2.29</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广西</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4</w:t>
            </w:r>
          </w:p>
        </w:tc>
        <w:tc>
          <w:tcPr>
            <w:tcW w:w="1421"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0.12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重庆</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63</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1.87</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湖南</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421"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0.09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新疆</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48</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1.42</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内蒙古</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421"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安徽</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38</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1.13</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山东</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421"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四川</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31</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0.92</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陕西</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421"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421"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江苏</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28</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0.83</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河北</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421"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云南</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24</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0.71</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江西</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421"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甘肃</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19</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0.56</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山西</w:t>
            </w:r>
          </w:p>
        </w:tc>
        <w:tc>
          <w:tcPr>
            <w:tcW w:w="1420"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421"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海南</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19</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0.56</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省外合计</w:t>
            </w:r>
          </w:p>
        </w:tc>
        <w:tc>
          <w:tcPr>
            <w:tcW w:w="1420"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784</w:t>
            </w:r>
          </w:p>
        </w:tc>
        <w:tc>
          <w:tcPr>
            <w:tcW w:w="1421"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23.27</w:t>
            </w:r>
          </w:p>
        </w:tc>
      </w:tr>
    </w:tbl>
    <w:p>
      <w:pPr>
        <w:pStyle w:val="29"/>
        <w:spacing w:before="156" w:after="156"/>
      </w:pPr>
      <w:bookmarkStart w:id="10" w:name="_Toc503183005"/>
      <w:r>
        <w:rPr>
          <w:rFonts w:hint="eastAsia"/>
        </w:rPr>
        <w:t>（四）毕业生分民族结构分布</w:t>
      </w:r>
      <w:bookmarkEnd w:id="10"/>
    </w:p>
    <w:p>
      <w:pPr>
        <w:pStyle w:val="21"/>
        <w:ind w:firstLine="480"/>
        <w:rPr>
          <w:rFonts w:hint="eastAsia" w:ascii="宋体" w:hAnsi="宋体" w:eastAsia="宋体" w:cs="宋体"/>
          <w:szCs w:val="24"/>
        </w:rPr>
      </w:pPr>
      <w:r>
        <w:rPr>
          <w:rFonts w:hint="eastAsia" w:ascii="宋体" w:hAnsi="宋体" w:eastAsia="宋体" w:cs="宋体"/>
          <w:szCs w:val="24"/>
        </w:rPr>
        <w:t>2017届毕业生以汉族毕业生为主，汉族毕业生与少数民族毕业生人数比为4.36:1。其中汉族2740人，占比81.33%；少数民族629人，占比18.67%。</w:t>
      </w:r>
    </w:p>
    <w:p>
      <w:pPr>
        <w:pStyle w:val="21"/>
        <w:ind w:firstLine="480"/>
        <w:rPr>
          <w:rFonts w:hint="eastAsia" w:ascii="宋体" w:hAnsi="宋体" w:eastAsia="宋体" w:cs="宋体"/>
          <w:szCs w:val="24"/>
        </w:rPr>
      </w:pPr>
      <w:r>
        <w:rPr>
          <w:rFonts w:hint="eastAsia" w:ascii="宋体" w:hAnsi="宋体" w:eastAsia="宋体" w:cs="宋体"/>
          <w:szCs w:val="24"/>
        </w:rPr>
        <w:t>少数民族毕业生中，人数排名前三的分别是土家族（305人）、藏族（142人）、苗族（</w:t>
      </w:r>
      <w:r>
        <w:rPr>
          <w:rFonts w:hint="eastAsia" w:ascii="宋体" w:hAnsi="宋体" w:eastAsia="宋体" w:cs="宋体"/>
          <w:color w:val="000000"/>
          <w:szCs w:val="24"/>
        </w:rPr>
        <w:t>51人</w:t>
      </w:r>
      <w:r>
        <w:rPr>
          <w:rFonts w:hint="eastAsia" w:ascii="宋体" w:hAnsi="宋体" w:eastAsia="宋体" w:cs="宋体"/>
          <w:szCs w:val="24"/>
        </w:rPr>
        <w:t>），占比分别为9.05%、4.21%、1.51%。</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572000" cy="2743200"/>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2</w:t>
      </w:r>
      <w:r>
        <w:rPr>
          <w:szCs w:val="18"/>
        </w:rPr>
        <w:fldChar w:fldCharType="end"/>
      </w:r>
      <w:r>
        <w:rPr>
          <w:szCs w:val="18"/>
        </w:rPr>
        <w:t xml:space="preserve"> 2017</w:t>
      </w:r>
      <w:r>
        <w:rPr>
          <w:rFonts w:hint="eastAsia"/>
          <w:szCs w:val="18"/>
        </w:rPr>
        <w:t>届</w:t>
      </w:r>
      <w:r>
        <w:rPr>
          <w:rFonts w:hint="eastAsia" w:hAnsi="宋体" w:cs="宋体"/>
          <w:kern w:val="0"/>
          <w:szCs w:val="18"/>
        </w:rPr>
        <w:t>毕业生民族结构分布</w:t>
      </w: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p>
    <w:p>
      <w:pPr>
        <w:pStyle w:val="23"/>
        <w:rPr>
          <w:rFonts w:hAnsi="宋体" w:cs="宋体"/>
          <w:kern w:val="0"/>
          <w:szCs w:val="18"/>
        </w:rPr>
      </w:pPr>
      <w:r>
        <w:rPr>
          <w:rFonts w:hint="eastAsia"/>
          <w:szCs w:val="18"/>
        </w:rPr>
        <w:t>表1-</w:t>
      </w:r>
      <w:r>
        <w:rPr>
          <w:szCs w:val="18"/>
        </w:rPr>
        <w:fldChar w:fldCharType="begin"/>
      </w:r>
      <w:r>
        <w:rPr>
          <w:rFonts w:hint="eastAsia"/>
          <w:szCs w:val="18"/>
        </w:rPr>
        <w:instrText xml:space="preserve">SEQ 表1- \* ARABIC</w:instrText>
      </w:r>
      <w:r>
        <w:rPr>
          <w:szCs w:val="18"/>
        </w:rPr>
        <w:fldChar w:fldCharType="separate"/>
      </w:r>
      <w:r>
        <w:rPr>
          <w:szCs w:val="18"/>
        </w:rPr>
        <w:t>3</w:t>
      </w:r>
      <w:r>
        <w:rPr>
          <w:szCs w:val="18"/>
        </w:rPr>
        <w:fldChar w:fldCharType="end"/>
      </w:r>
      <w:r>
        <w:rPr>
          <w:szCs w:val="18"/>
        </w:rPr>
        <w:t xml:space="preserve"> 2017</w:t>
      </w:r>
      <w:r>
        <w:rPr>
          <w:rFonts w:hint="eastAsia"/>
          <w:szCs w:val="18"/>
        </w:rPr>
        <w:t>届</w:t>
      </w:r>
      <w:r>
        <w:rPr>
          <w:rFonts w:hint="eastAsia" w:hAnsi="宋体" w:cs="宋体"/>
          <w:kern w:val="0"/>
          <w:szCs w:val="18"/>
        </w:rPr>
        <w:t>少数民族毕业生具体分布</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比例（%）</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422"/>
        <w:gridCol w:w="1422"/>
        <w:gridCol w:w="1421"/>
        <w:gridCol w:w="1421"/>
        <w:gridCol w:w="1420"/>
        <w:gridCol w:w="1416"/>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民族</w:t>
            </w:r>
          </w:p>
        </w:tc>
        <w:tc>
          <w:tcPr>
            <w:tcW w:w="1422"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人数</w:t>
            </w:r>
          </w:p>
        </w:tc>
        <w:tc>
          <w:tcPr>
            <w:tcW w:w="1421"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比例</w:t>
            </w:r>
          </w:p>
        </w:tc>
        <w:tc>
          <w:tcPr>
            <w:tcW w:w="1421"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民族</w:t>
            </w:r>
          </w:p>
        </w:tc>
        <w:tc>
          <w:tcPr>
            <w:tcW w:w="142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人数</w:t>
            </w:r>
          </w:p>
        </w:tc>
        <w:tc>
          <w:tcPr>
            <w:tcW w:w="1416"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比例</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土家族</w:t>
            </w:r>
          </w:p>
        </w:tc>
        <w:tc>
          <w:tcPr>
            <w:tcW w:w="142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305</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9.05</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土族</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w:t>
            </w:r>
          </w:p>
        </w:tc>
        <w:tc>
          <w:tcPr>
            <w:tcW w:w="141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藏族</w:t>
            </w:r>
          </w:p>
        </w:tc>
        <w:tc>
          <w:tcPr>
            <w:tcW w:w="142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142</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4.21</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哈尼族</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41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苗族</w:t>
            </w:r>
          </w:p>
        </w:tc>
        <w:tc>
          <w:tcPr>
            <w:tcW w:w="142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51</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1.51</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哈萨克族</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41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维吾尔族</w:t>
            </w:r>
          </w:p>
        </w:tc>
        <w:tc>
          <w:tcPr>
            <w:tcW w:w="142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39</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1.16</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塔吉克族</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41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422"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侗族</w:t>
            </w:r>
          </w:p>
        </w:tc>
        <w:tc>
          <w:tcPr>
            <w:tcW w:w="142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22</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0.65</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壮族</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41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回族</w:t>
            </w:r>
          </w:p>
        </w:tc>
        <w:tc>
          <w:tcPr>
            <w:tcW w:w="142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19</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0.56</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朝鲜族</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1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彝族</w:t>
            </w:r>
          </w:p>
        </w:tc>
        <w:tc>
          <w:tcPr>
            <w:tcW w:w="142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0.36</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傣族</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1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布依族</w:t>
            </w:r>
          </w:p>
        </w:tc>
        <w:tc>
          <w:tcPr>
            <w:tcW w:w="142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0.12</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柯尔克孜族</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1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仡佬族</w:t>
            </w:r>
          </w:p>
        </w:tc>
        <w:tc>
          <w:tcPr>
            <w:tcW w:w="142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0.12</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黎族</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1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白族</w:t>
            </w:r>
          </w:p>
        </w:tc>
        <w:tc>
          <w:tcPr>
            <w:tcW w:w="142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0.09</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傈僳族</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1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422"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东乡族</w:t>
            </w:r>
          </w:p>
        </w:tc>
        <w:tc>
          <w:tcPr>
            <w:tcW w:w="142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0.09</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纳西族</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1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蒙古族</w:t>
            </w:r>
          </w:p>
        </w:tc>
        <w:tc>
          <w:tcPr>
            <w:tcW w:w="142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0.09</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撒拉族</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1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2"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其它</w:t>
            </w:r>
          </w:p>
        </w:tc>
        <w:tc>
          <w:tcPr>
            <w:tcW w:w="142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0.09</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畲族</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1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bl>
    <w:p>
      <w:pPr>
        <w:pStyle w:val="29"/>
        <w:spacing w:before="156" w:after="156"/>
        <w:rPr>
          <w:rFonts w:hint="eastAsia"/>
        </w:rPr>
      </w:pPr>
      <w:bookmarkStart w:id="11" w:name="_Toc503183006"/>
    </w:p>
    <w:p>
      <w:pPr>
        <w:pStyle w:val="29"/>
        <w:spacing w:before="156" w:after="156"/>
      </w:pPr>
      <w:r>
        <w:rPr>
          <w:rFonts w:hint="eastAsia"/>
        </w:rPr>
        <w:t>（五）毕业生分城乡结构分布</w:t>
      </w:r>
      <w:bookmarkEnd w:id="11"/>
    </w:p>
    <w:p>
      <w:pPr>
        <w:pStyle w:val="21"/>
        <w:ind w:firstLine="480"/>
      </w:pPr>
      <w:r>
        <w:rPr>
          <w:rFonts w:hint="eastAsia"/>
        </w:rPr>
        <w:t>2017届毕业生以农村毕业生为主，农村毕业生与城镇毕业生人数比为4.01:1。其中农村毕业生有269</w:t>
      </w:r>
      <w:r>
        <w:t>6</w:t>
      </w:r>
      <w:r>
        <w:rPr>
          <w:rFonts w:hint="eastAsia"/>
        </w:rPr>
        <w:t>人，占比80.</w:t>
      </w:r>
      <w:r>
        <w:t>02</w:t>
      </w:r>
      <w:r>
        <w:rPr>
          <w:rFonts w:hint="eastAsia"/>
        </w:rPr>
        <w:t>%；城镇毕业生有67</w:t>
      </w:r>
      <w:r>
        <w:t>3</w:t>
      </w:r>
      <w:r>
        <w:rPr>
          <w:rFonts w:hint="eastAsia"/>
        </w:rPr>
        <w:t>人，占比19.9</w:t>
      </w:r>
      <w:r>
        <w:t>8</w:t>
      </w:r>
      <w:r>
        <w:rPr>
          <w:rFonts w:hint="eastAsia"/>
        </w:rPr>
        <w:t>%。</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572000" cy="2661920"/>
            <wp:effectExtent l="0" t="0" r="0" b="508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3</w:t>
      </w:r>
      <w:r>
        <w:rPr>
          <w:szCs w:val="18"/>
        </w:rPr>
        <w:fldChar w:fldCharType="end"/>
      </w:r>
      <w:r>
        <w:rPr>
          <w:szCs w:val="18"/>
        </w:rPr>
        <w:t xml:space="preserve"> 2017</w:t>
      </w:r>
      <w:r>
        <w:rPr>
          <w:rFonts w:hint="eastAsia"/>
          <w:szCs w:val="18"/>
        </w:rPr>
        <w:t>届</w:t>
      </w:r>
      <w:r>
        <w:rPr>
          <w:rFonts w:hint="eastAsia" w:hAnsi="宋体" w:cs="宋体"/>
          <w:kern w:val="0"/>
          <w:szCs w:val="18"/>
        </w:rPr>
        <w:t>毕业生分城乡结构分布</w:t>
      </w:r>
    </w:p>
    <w:p>
      <w:pPr>
        <w:pStyle w:val="29"/>
        <w:spacing w:before="156" w:after="156"/>
      </w:pPr>
      <w:bookmarkStart w:id="12" w:name="_Toc503183007"/>
      <w:r>
        <w:rPr>
          <w:rFonts w:hint="eastAsia"/>
        </w:rPr>
        <w:t>（六）毕业生分困难生类别结构分布</w:t>
      </w:r>
      <w:bookmarkEnd w:id="12"/>
    </w:p>
    <w:p>
      <w:pPr>
        <w:pStyle w:val="21"/>
        <w:ind w:firstLine="480"/>
      </w:pPr>
      <w:r>
        <w:rPr>
          <w:rFonts w:hint="eastAsia"/>
        </w:rPr>
        <w:t>2017届毕业生以非困难毕业生为主，非困难毕业生与困难毕业生人数比为1.97:1。其中非困难毕业生有2236人（66.37%），困难毕业生有</w:t>
      </w:r>
      <w:r>
        <w:t>1133人</w:t>
      </w:r>
      <w:r>
        <w:rPr>
          <w:rFonts w:hint="eastAsia"/>
        </w:rPr>
        <w:t>（</w:t>
      </w:r>
      <w:r>
        <w:t>33.63%</w:t>
      </w:r>
      <w:r>
        <w:rPr>
          <w:rFonts w:hint="eastAsia"/>
        </w:rPr>
        <w:t>）。</w:t>
      </w:r>
    </w:p>
    <w:p>
      <w:pPr>
        <w:pStyle w:val="21"/>
        <w:ind w:firstLine="480"/>
        <w:rPr>
          <w:rFonts w:ascii="宋体" w:hAnsi="宋体"/>
        </w:rPr>
      </w:pPr>
      <w:r>
        <w:t>进一步细化困难生类别</w:t>
      </w:r>
      <w:r>
        <w:rPr>
          <w:rFonts w:hint="eastAsia"/>
        </w:rPr>
        <w:t>可知，家庭困难毕业生有984人（29.21%）；就业困难毕业生有144人（4.27%）；残疾毕业生有5人（0.15%）。</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572000" cy="274320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4</w:t>
      </w:r>
      <w:r>
        <w:rPr>
          <w:szCs w:val="18"/>
        </w:rPr>
        <w:fldChar w:fldCharType="end"/>
      </w:r>
      <w:r>
        <w:rPr>
          <w:szCs w:val="18"/>
        </w:rPr>
        <w:t xml:space="preserve"> 2017</w:t>
      </w:r>
      <w:r>
        <w:rPr>
          <w:rFonts w:hint="eastAsia"/>
          <w:szCs w:val="18"/>
        </w:rPr>
        <w:t>届</w:t>
      </w:r>
      <w:r>
        <w:rPr>
          <w:rFonts w:hint="eastAsia" w:hAnsi="宋体" w:cs="宋体"/>
          <w:kern w:val="0"/>
          <w:szCs w:val="18"/>
        </w:rPr>
        <w:t>毕业生分困难生类别结构分布</w:t>
      </w:r>
    </w:p>
    <w:p>
      <w:pPr>
        <w:pStyle w:val="19"/>
        <w:spacing w:before="156" w:after="156"/>
      </w:pPr>
      <w:bookmarkStart w:id="13" w:name="_Toc503183008"/>
      <w:r>
        <w:rPr>
          <w:rFonts w:hint="eastAsia"/>
        </w:rPr>
        <w:t>二</w:t>
      </w:r>
      <w:r>
        <w:t>、</w:t>
      </w:r>
      <w:r>
        <w:rPr>
          <w:rFonts w:hint="eastAsia"/>
        </w:rPr>
        <w:t>2017届毕业</w:t>
      </w:r>
      <w:r>
        <w:t>生</w:t>
      </w:r>
      <w:r>
        <w:rPr>
          <w:rFonts w:hint="eastAsia"/>
        </w:rPr>
        <w:t>就业率分析</w:t>
      </w:r>
      <w:bookmarkEnd w:id="13"/>
    </w:p>
    <w:p>
      <w:pPr>
        <w:pStyle w:val="29"/>
        <w:spacing w:before="156" w:after="156"/>
      </w:pPr>
      <w:bookmarkStart w:id="14" w:name="_Toc503183009"/>
      <w:r>
        <w:rPr>
          <w:rFonts w:hint="eastAsia"/>
        </w:rPr>
        <w:t>（一）毕业生总体及分性别就业率</w:t>
      </w:r>
      <w:bookmarkEnd w:id="14"/>
    </w:p>
    <w:p>
      <w:pPr>
        <w:pStyle w:val="21"/>
        <w:ind w:firstLine="480"/>
      </w:pPr>
      <w:r>
        <w:t>总体来看</w:t>
      </w:r>
      <w:r>
        <w:rPr>
          <w:rFonts w:hint="eastAsia"/>
        </w:rPr>
        <w:t>，</w:t>
      </w:r>
      <w:r>
        <w:t>截止到</w:t>
      </w:r>
      <w:r>
        <w:rPr>
          <w:rFonts w:hint="eastAsia"/>
        </w:rPr>
        <w:t>2017年12月，2017届毕业生就业32</w:t>
      </w:r>
      <w:r>
        <w:t>16</w:t>
      </w:r>
      <w:r>
        <w:rPr>
          <w:rFonts w:hint="eastAsia"/>
        </w:rPr>
        <w:t>人，就业率</w:t>
      </w:r>
      <w:r>
        <w:t>95.46</w:t>
      </w:r>
      <w:r>
        <w:rPr>
          <w:rFonts w:hint="eastAsia"/>
        </w:rPr>
        <w:t>%。分性别来看，男性</w:t>
      </w:r>
      <w:r>
        <w:t>毕业生初次就业率略高于女性，高</w:t>
      </w:r>
      <w:r>
        <w:rPr>
          <w:rFonts w:hint="eastAsia"/>
        </w:rPr>
        <w:t>0.</w:t>
      </w:r>
      <w:r>
        <w:t>22</w:t>
      </w:r>
      <w:r>
        <w:rPr>
          <w:rFonts w:hint="eastAsia"/>
        </w:rPr>
        <w:t>个百分点。其中女性毕业生就业率为9</w:t>
      </w:r>
      <w:r>
        <w:t>5</w:t>
      </w:r>
      <w:r>
        <w:rPr>
          <w:rFonts w:hint="eastAsia"/>
        </w:rPr>
        <w:t>.</w:t>
      </w:r>
      <w:r>
        <w:t>38</w:t>
      </w:r>
      <w:r>
        <w:rPr>
          <w:rFonts w:hint="eastAsia"/>
        </w:rPr>
        <w:t>%，男性毕业生就业率为</w:t>
      </w:r>
      <w:r>
        <w:t>95.60</w:t>
      </w:r>
      <w:r>
        <w:rPr>
          <w:rFonts w:hint="eastAsia"/>
        </w:rPr>
        <w:t>%。</w:t>
      </w:r>
    </w:p>
    <w:p>
      <w:pPr>
        <w:widowControl/>
        <w:jc w:val="center"/>
        <w:rPr>
          <w:rFonts w:ascii="宋体" w:hAnsi="宋体" w:eastAsia="宋体" w:cs="宋体"/>
          <w:kern w:val="0"/>
          <w:sz w:val="24"/>
          <w:szCs w:val="24"/>
        </w:rPr>
      </w:pPr>
      <w:r>
        <w:drawing>
          <wp:inline distT="0" distB="0" distL="0" distR="0">
            <wp:extent cx="5274310" cy="2457450"/>
            <wp:effectExtent l="0" t="0" r="2540" b="0"/>
            <wp:docPr id="216" name="图表 2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5</w:t>
      </w:r>
      <w:r>
        <w:rPr>
          <w:szCs w:val="18"/>
        </w:rPr>
        <w:fldChar w:fldCharType="end"/>
      </w:r>
      <w:r>
        <w:rPr>
          <w:szCs w:val="18"/>
        </w:rPr>
        <w:t xml:space="preserve"> 2017</w:t>
      </w:r>
      <w:r>
        <w:rPr>
          <w:rFonts w:hint="eastAsia"/>
          <w:szCs w:val="18"/>
        </w:rPr>
        <w:t>届</w:t>
      </w:r>
      <w:r>
        <w:rPr>
          <w:rFonts w:hint="eastAsia" w:hAnsi="宋体" w:cs="宋体"/>
          <w:kern w:val="0"/>
          <w:szCs w:val="18"/>
        </w:rPr>
        <w:t>毕业生总体及分性别就业率分布</w:t>
      </w:r>
    </w:p>
    <w:p>
      <w:pPr>
        <w:pStyle w:val="29"/>
        <w:spacing w:before="156" w:after="156"/>
        <w:rPr>
          <w:rFonts w:hint="eastAsia"/>
        </w:rPr>
      </w:pPr>
      <w:bookmarkStart w:id="15" w:name="_Toc503183010"/>
    </w:p>
    <w:p>
      <w:pPr>
        <w:pStyle w:val="29"/>
        <w:spacing w:before="156" w:after="156"/>
      </w:pPr>
      <w:r>
        <w:rPr>
          <w:rFonts w:hint="eastAsia"/>
        </w:rPr>
        <w:t>（二）毕业生分二级学院</w:t>
      </w:r>
      <w:r>
        <w:t>和专业</w:t>
      </w:r>
      <w:r>
        <w:rPr>
          <w:rFonts w:hint="eastAsia"/>
        </w:rPr>
        <w:t>就业率</w:t>
      </w:r>
      <w:bookmarkEnd w:id="15"/>
    </w:p>
    <w:p>
      <w:pPr>
        <w:pStyle w:val="21"/>
        <w:ind w:firstLine="480"/>
      </w:pPr>
      <w:r>
        <w:t>分二级学院来看</w:t>
      </w:r>
      <w:r>
        <w:rPr>
          <w:rFonts w:hint="eastAsia"/>
        </w:rPr>
        <w:t>，各二级学院就业率均在</w:t>
      </w:r>
      <w:r>
        <w:t>93.00</w:t>
      </w:r>
      <w:r>
        <w:rPr>
          <w:rFonts w:hint="eastAsia"/>
        </w:rPr>
        <w:t>%以上。其中教育学院、艺术与传媒学院就业率最高，均为100.00%；其次是计算机科学技术学院，为</w:t>
      </w:r>
      <w:r>
        <w:t>99.53%</w:t>
      </w:r>
      <w:r>
        <w:rPr>
          <w:rFonts w:hint="eastAsia"/>
        </w:rPr>
        <w:t>。</w:t>
      </w:r>
      <w:r>
        <w:t>分专业来看</w:t>
      </w:r>
      <w:r>
        <w:rPr>
          <w:rFonts w:hint="eastAsia"/>
        </w:rPr>
        <w:t>，各专业就业率均在9</w:t>
      </w:r>
      <w:r>
        <w:t>1</w:t>
      </w:r>
      <w:r>
        <w:rPr>
          <w:rFonts w:hint="eastAsia"/>
        </w:rPr>
        <w:t>.00%以上。其中有18个专业就业率为100.00%。</w:t>
      </w:r>
    </w:p>
    <w:p>
      <w:pPr>
        <w:pStyle w:val="23"/>
        <w:rPr>
          <w:rFonts w:hAnsi="宋体" w:cs="宋体"/>
          <w:kern w:val="0"/>
          <w:szCs w:val="18"/>
        </w:rPr>
      </w:pPr>
      <w:r>
        <w:rPr>
          <w:rFonts w:hint="eastAsia"/>
          <w:szCs w:val="18"/>
        </w:rPr>
        <w:t>表1-</w:t>
      </w:r>
      <w:r>
        <w:rPr>
          <w:szCs w:val="18"/>
        </w:rPr>
        <w:fldChar w:fldCharType="begin"/>
      </w:r>
      <w:r>
        <w:rPr>
          <w:rFonts w:hint="eastAsia"/>
          <w:szCs w:val="18"/>
        </w:rPr>
        <w:instrText xml:space="preserve">SEQ 表1- \* ARABIC</w:instrText>
      </w:r>
      <w:r>
        <w:rPr>
          <w:szCs w:val="18"/>
        </w:rPr>
        <w:fldChar w:fldCharType="separate"/>
      </w:r>
      <w:r>
        <w:rPr>
          <w:szCs w:val="18"/>
        </w:rPr>
        <w:t>4</w:t>
      </w:r>
      <w:r>
        <w:rPr>
          <w:szCs w:val="18"/>
        </w:rPr>
        <w:fldChar w:fldCharType="end"/>
      </w:r>
      <w:r>
        <w:rPr>
          <w:szCs w:val="18"/>
        </w:rPr>
        <w:t xml:space="preserve"> 2017</w:t>
      </w:r>
      <w:r>
        <w:rPr>
          <w:rFonts w:hint="eastAsia"/>
          <w:szCs w:val="18"/>
        </w:rPr>
        <w:t>届</w:t>
      </w:r>
      <w:r>
        <w:rPr>
          <w:rFonts w:hint="eastAsia" w:hAnsi="宋体" w:cs="宋体"/>
          <w:kern w:val="0"/>
          <w:szCs w:val="18"/>
        </w:rPr>
        <w:t>毕业生分学院和专业就业率分布</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就业率（</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2197"/>
        <w:gridCol w:w="2804"/>
        <w:gridCol w:w="1174"/>
        <w:gridCol w:w="1174"/>
        <w:gridCol w:w="1173"/>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blHeader/>
        </w:trPr>
        <w:tc>
          <w:tcPr>
            <w:tcW w:w="2197"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学院</w:t>
            </w:r>
          </w:p>
        </w:tc>
        <w:tc>
          <w:tcPr>
            <w:tcW w:w="280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专业</w:t>
            </w:r>
          </w:p>
        </w:tc>
        <w:tc>
          <w:tcPr>
            <w:tcW w:w="117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就业人数</w:t>
            </w:r>
          </w:p>
        </w:tc>
        <w:tc>
          <w:tcPr>
            <w:tcW w:w="117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毕业人数</w:t>
            </w:r>
          </w:p>
        </w:tc>
        <w:tc>
          <w:tcPr>
            <w:tcW w:w="1173"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就业率</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restart"/>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r>
              <w:rPr>
                <w:rFonts w:hint="eastAsia" w:cs="宋体" w:asciiTheme="majorEastAsia" w:hAnsiTheme="majorEastAsia" w:eastAsiaTheme="majorEastAsia"/>
                <w:b w:val="0"/>
                <w:bCs/>
                <w:color w:val="000000"/>
                <w:kern w:val="0"/>
                <w:sz w:val="18"/>
                <w:szCs w:val="18"/>
              </w:rPr>
              <w:t>机械电子工程学院</w:t>
            </w: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机电一体化技术</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136</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136</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模具设计与制造</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19</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19</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汽车检测与维修技术</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98</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105</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93.33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数控技术</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应用电子技术</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117</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121</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96.69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1" w:firstLineChars="100"/>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1174"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380</w:t>
            </w:r>
          </w:p>
        </w:tc>
        <w:tc>
          <w:tcPr>
            <w:tcW w:w="1174"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391</w:t>
            </w:r>
          </w:p>
        </w:tc>
        <w:tc>
          <w:tcPr>
            <w:tcW w:w="1173"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97.19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restart"/>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r>
              <w:rPr>
                <w:rFonts w:hint="eastAsia" w:cs="宋体" w:asciiTheme="majorEastAsia" w:hAnsiTheme="majorEastAsia" w:eastAsiaTheme="majorEastAsia"/>
                <w:b w:val="0"/>
                <w:bCs/>
                <w:color w:val="000000"/>
                <w:kern w:val="0"/>
                <w:sz w:val="18"/>
                <w:szCs w:val="18"/>
              </w:rPr>
              <w:t>计算机科学技术学院</w:t>
            </w: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计算机网络技术</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48</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48</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楼宇智能化工程技术</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嵌入式技术与应用</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43</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44</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97.73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软件开发与项目管理</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1" w:firstLineChars="100"/>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213</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214</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99.53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restart"/>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r>
              <w:rPr>
                <w:rFonts w:hint="eastAsia" w:cs="宋体" w:asciiTheme="majorEastAsia" w:hAnsiTheme="majorEastAsia" w:eastAsiaTheme="majorEastAsia"/>
                <w:b w:val="0"/>
                <w:bCs/>
                <w:color w:val="000000"/>
                <w:kern w:val="0"/>
                <w:sz w:val="18"/>
                <w:szCs w:val="18"/>
              </w:rPr>
              <w:t>教育学院</w:t>
            </w: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学前教育</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261</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261</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1" w:firstLineChars="100"/>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261</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261</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restart"/>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r>
              <w:rPr>
                <w:rFonts w:hint="eastAsia" w:cs="宋体" w:asciiTheme="majorEastAsia" w:hAnsiTheme="majorEastAsia" w:eastAsiaTheme="majorEastAsia"/>
                <w:b w:val="0"/>
                <w:bCs/>
                <w:color w:val="000000"/>
                <w:kern w:val="0"/>
                <w:sz w:val="18"/>
                <w:szCs w:val="18"/>
              </w:rPr>
              <w:t>经济与管理学院</w:t>
            </w: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会计</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124</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126</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98.41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建筑工程技术</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69</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69</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酒店管理</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71</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71</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物流管理</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医药营销</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园林技术</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96.88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1" w:firstLineChars="100"/>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1174"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342</w:t>
            </w:r>
          </w:p>
        </w:tc>
        <w:tc>
          <w:tcPr>
            <w:tcW w:w="1174"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345</w:t>
            </w:r>
          </w:p>
        </w:tc>
        <w:tc>
          <w:tcPr>
            <w:tcW w:w="1173"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99.13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restart"/>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r>
              <w:rPr>
                <w:rFonts w:hint="eastAsia" w:cs="宋体" w:asciiTheme="majorEastAsia" w:hAnsiTheme="majorEastAsia" w:eastAsiaTheme="majorEastAsia"/>
                <w:b w:val="0"/>
                <w:bCs/>
                <w:color w:val="000000"/>
                <w:kern w:val="0"/>
                <w:sz w:val="18"/>
                <w:szCs w:val="18"/>
              </w:rPr>
              <w:t>医学院</w:t>
            </w: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护理</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1087</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1146</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94.85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康复治疗技术</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77</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83</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92.77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临床医学</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782</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855</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91.46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眼视光技术</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1" w:firstLineChars="100"/>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1952</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2090</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93.40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restart"/>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r>
              <w:rPr>
                <w:rFonts w:hint="eastAsia" w:cs="宋体" w:asciiTheme="majorEastAsia" w:hAnsiTheme="majorEastAsia" w:eastAsiaTheme="majorEastAsia"/>
                <w:b w:val="0"/>
                <w:bCs/>
                <w:color w:val="000000"/>
                <w:kern w:val="0"/>
                <w:sz w:val="18"/>
                <w:szCs w:val="18"/>
              </w:rPr>
              <w:t>艺术与传媒学院</w:t>
            </w: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服装设计</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社会体育</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数字媒体设计与制作</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新闻采编与制作</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主持与播音</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w:t>
            </w:r>
          </w:p>
        </w:tc>
        <w:tc>
          <w:tcPr>
            <w:tcW w:w="117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w:t>
            </w:r>
          </w:p>
        </w:tc>
        <w:tc>
          <w:tcPr>
            <w:tcW w:w="117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shd w:val="clear" w:color="auto" w:fill="DEEAF6" w:themeFill="accent1" w:themeFillTint="33"/>
            <w:vAlign w:val="center"/>
          </w:tcPr>
          <w:p>
            <w:pPr>
              <w:widowControl/>
              <w:ind w:firstLine="180" w:firstLineChars="100"/>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装潢艺术设计</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97" w:type="dxa"/>
            <w:vMerge w:val="continue"/>
            <w:shd w:val="clear" w:color="auto" w:fill="auto"/>
            <w:vAlign w:val="center"/>
          </w:tcPr>
          <w:p>
            <w:pPr>
              <w:widowControl/>
              <w:jc w:val="center"/>
              <w:rPr>
                <w:rFonts w:cs="宋体" w:asciiTheme="majorEastAsia" w:hAnsiTheme="majorEastAsia" w:eastAsiaTheme="majorEastAsia"/>
                <w:b w:val="0"/>
                <w:bCs w:val="0"/>
                <w:color w:val="000000"/>
                <w:kern w:val="0"/>
                <w:sz w:val="18"/>
                <w:szCs w:val="18"/>
              </w:rPr>
            </w:pPr>
          </w:p>
        </w:tc>
        <w:tc>
          <w:tcPr>
            <w:tcW w:w="2804" w:type="dxa"/>
            <w:vAlign w:val="center"/>
          </w:tcPr>
          <w:p>
            <w:pPr>
              <w:widowControl/>
              <w:ind w:firstLine="181" w:firstLineChars="100"/>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合计</w:t>
            </w:r>
          </w:p>
        </w:tc>
        <w:tc>
          <w:tcPr>
            <w:tcW w:w="1174"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68</w:t>
            </w:r>
          </w:p>
        </w:tc>
        <w:tc>
          <w:tcPr>
            <w:tcW w:w="1174"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68</w:t>
            </w:r>
          </w:p>
        </w:tc>
        <w:tc>
          <w:tcPr>
            <w:tcW w:w="1173"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5001" w:type="dxa"/>
            <w:gridSpan w:val="2"/>
            <w:shd w:val="clear" w:color="auto" w:fill="DEEAF6" w:themeFill="accent1" w:themeFillTint="33"/>
            <w:vAlign w:val="center"/>
          </w:tcPr>
          <w:p>
            <w:pPr>
              <w:widowControl/>
              <w:jc w:val="center"/>
              <w:rPr>
                <w:rFonts w:cs="宋体" w:asciiTheme="majorEastAsia" w:hAnsiTheme="majorEastAsia" w:eastAsiaTheme="majorEastAsia"/>
                <w:b/>
                <w:bCs w:val="0"/>
                <w:color w:val="000000"/>
                <w:kern w:val="0"/>
                <w:sz w:val="18"/>
                <w:szCs w:val="18"/>
              </w:rPr>
            </w:pPr>
            <w:r>
              <w:rPr>
                <w:rFonts w:hint="eastAsia" w:cs="宋体" w:asciiTheme="majorEastAsia" w:hAnsiTheme="majorEastAsia" w:eastAsiaTheme="majorEastAsia"/>
                <w:b/>
                <w:bCs/>
                <w:color w:val="000000"/>
                <w:kern w:val="0"/>
                <w:sz w:val="18"/>
                <w:szCs w:val="18"/>
              </w:rPr>
              <w:t>总计</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3216</w:t>
            </w:r>
          </w:p>
        </w:tc>
        <w:tc>
          <w:tcPr>
            <w:tcW w:w="1174"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3369</w:t>
            </w:r>
          </w:p>
        </w:tc>
        <w:tc>
          <w:tcPr>
            <w:tcW w:w="1173" w:type="dxa"/>
            <w:shd w:val="clear" w:color="auto" w:fill="DEEAF6" w:themeFill="accent1" w:themeFillTint="33"/>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95.46</w:t>
            </w:r>
          </w:p>
        </w:tc>
      </w:tr>
    </w:tbl>
    <w:p>
      <w:pPr>
        <w:pStyle w:val="29"/>
        <w:spacing w:before="156" w:after="156"/>
      </w:pPr>
      <w:bookmarkStart w:id="16" w:name="_Toc503183011"/>
      <w:r>
        <w:rPr>
          <w:rFonts w:hint="eastAsia"/>
        </w:rPr>
        <w:t>（三）毕业生分生源地就业率</w:t>
      </w:r>
      <w:bookmarkEnd w:id="16"/>
    </w:p>
    <w:p>
      <w:pPr>
        <w:pStyle w:val="21"/>
        <w:ind w:firstLine="480"/>
      </w:pPr>
      <w:r>
        <w:t>总体来看</w:t>
      </w:r>
      <w:r>
        <w:rPr>
          <w:rFonts w:hint="eastAsia"/>
        </w:rPr>
        <w:t>，</w:t>
      </w:r>
      <w:r>
        <w:t>省内生源就业率要略高于省外生源</w:t>
      </w:r>
      <w:r>
        <w:rPr>
          <w:rFonts w:hint="eastAsia"/>
        </w:rPr>
        <w:t>，</w:t>
      </w:r>
      <w:r>
        <w:t>高</w:t>
      </w:r>
      <w:r>
        <w:rPr>
          <w:rFonts w:hint="eastAsia"/>
        </w:rPr>
        <w:t>3.</w:t>
      </w:r>
      <w:r>
        <w:t>89</w:t>
      </w:r>
      <w:r>
        <w:rPr>
          <w:rFonts w:hint="eastAsia"/>
        </w:rPr>
        <w:t>个百分点。其中省内生源毕业生就业</w:t>
      </w:r>
      <w:r>
        <w:t>2491</w:t>
      </w:r>
      <w:r>
        <w:rPr>
          <w:rFonts w:hint="eastAsia"/>
        </w:rPr>
        <w:t>人，就业率为</w:t>
      </w:r>
      <w:r>
        <w:t>96.36</w:t>
      </w:r>
      <w:r>
        <w:rPr>
          <w:rFonts w:hint="eastAsia"/>
        </w:rPr>
        <w:t>%；省外生源就业7</w:t>
      </w:r>
      <w:r>
        <w:t>25</w:t>
      </w:r>
      <w:r>
        <w:rPr>
          <w:rFonts w:hint="eastAsia"/>
        </w:rPr>
        <w:t>人，就业率为</w:t>
      </w:r>
      <w:r>
        <w:t>92.47</w:t>
      </w:r>
      <w:r>
        <w:rPr>
          <w:rFonts w:hint="eastAsia"/>
        </w:rPr>
        <w:t>%。</w:t>
      </w:r>
    </w:p>
    <w:p>
      <w:pPr>
        <w:pStyle w:val="23"/>
        <w:rPr>
          <w:rFonts w:hAnsi="宋体" w:cs="宋体"/>
          <w:kern w:val="0"/>
          <w:szCs w:val="18"/>
        </w:rPr>
      </w:pPr>
      <w:r>
        <w:rPr>
          <w:rFonts w:hint="eastAsia"/>
          <w:szCs w:val="18"/>
        </w:rPr>
        <w:t>表1-</w:t>
      </w:r>
      <w:r>
        <w:rPr>
          <w:szCs w:val="18"/>
        </w:rPr>
        <w:fldChar w:fldCharType="begin"/>
      </w:r>
      <w:r>
        <w:rPr>
          <w:rFonts w:hint="eastAsia"/>
          <w:szCs w:val="18"/>
        </w:rPr>
        <w:instrText xml:space="preserve">SEQ 表1- \* ARABIC</w:instrText>
      </w:r>
      <w:r>
        <w:rPr>
          <w:szCs w:val="18"/>
        </w:rPr>
        <w:fldChar w:fldCharType="separate"/>
      </w:r>
      <w:r>
        <w:rPr>
          <w:szCs w:val="18"/>
        </w:rPr>
        <w:t>5</w:t>
      </w:r>
      <w:r>
        <w:rPr>
          <w:szCs w:val="18"/>
        </w:rPr>
        <w:fldChar w:fldCharType="end"/>
      </w:r>
      <w:r>
        <w:rPr>
          <w:szCs w:val="18"/>
        </w:rPr>
        <w:t xml:space="preserve"> 2017</w:t>
      </w:r>
      <w:r>
        <w:rPr>
          <w:rFonts w:hint="eastAsia"/>
          <w:szCs w:val="18"/>
        </w:rPr>
        <w:t>届</w:t>
      </w:r>
      <w:r>
        <w:rPr>
          <w:rFonts w:hint="eastAsia" w:hAnsi="宋体" w:cs="宋体"/>
          <w:kern w:val="0"/>
          <w:szCs w:val="18"/>
        </w:rPr>
        <w:t>毕业生分生源地就业率分布</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就业率（</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037"/>
        <w:gridCol w:w="1151"/>
        <w:gridCol w:w="1036"/>
        <w:gridCol w:w="1036"/>
        <w:gridCol w:w="1036"/>
        <w:gridCol w:w="1150"/>
        <w:gridCol w:w="1038"/>
        <w:gridCol w:w="1038"/>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类别</w:t>
            </w:r>
          </w:p>
        </w:tc>
        <w:tc>
          <w:tcPr>
            <w:tcW w:w="1151"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毕业生人数</w:t>
            </w:r>
          </w:p>
        </w:tc>
        <w:tc>
          <w:tcPr>
            <w:tcW w:w="1036"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就业人数</w:t>
            </w:r>
          </w:p>
        </w:tc>
        <w:tc>
          <w:tcPr>
            <w:tcW w:w="1036"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就业率</w:t>
            </w:r>
          </w:p>
        </w:tc>
        <w:tc>
          <w:tcPr>
            <w:tcW w:w="1036"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类别</w:t>
            </w:r>
          </w:p>
        </w:tc>
        <w:tc>
          <w:tcPr>
            <w:tcW w:w="115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毕业生人数</w:t>
            </w:r>
          </w:p>
        </w:tc>
        <w:tc>
          <w:tcPr>
            <w:tcW w:w="1038"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就业人数</w:t>
            </w:r>
          </w:p>
        </w:tc>
        <w:tc>
          <w:tcPr>
            <w:tcW w:w="1038"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就业率</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湖北</w:t>
            </w:r>
          </w:p>
        </w:tc>
        <w:tc>
          <w:tcPr>
            <w:tcW w:w="115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2585</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2491</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96.36</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省外</w:t>
            </w:r>
          </w:p>
        </w:tc>
        <w:tc>
          <w:tcPr>
            <w:tcW w:w="115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784</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725</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92.47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8522" w:type="dxa"/>
            <w:gridSpan w:val="8"/>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省外生源地就业率分布</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贵州</w:t>
            </w:r>
          </w:p>
        </w:tc>
        <w:tc>
          <w:tcPr>
            <w:tcW w:w="115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141</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136</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96.45</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福建</w:t>
            </w:r>
          </w:p>
        </w:tc>
        <w:tc>
          <w:tcPr>
            <w:tcW w:w="115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88.24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西藏</w:t>
            </w:r>
          </w:p>
        </w:tc>
        <w:tc>
          <w:tcPr>
            <w:tcW w:w="115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133</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114</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85.71</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青海</w:t>
            </w:r>
          </w:p>
        </w:tc>
        <w:tc>
          <w:tcPr>
            <w:tcW w:w="115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16</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16</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037"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河南</w:t>
            </w:r>
          </w:p>
        </w:tc>
        <w:tc>
          <w:tcPr>
            <w:tcW w:w="115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101</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93</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92.08</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广东</w:t>
            </w:r>
          </w:p>
        </w:tc>
        <w:tc>
          <w:tcPr>
            <w:tcW w:w="115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浙江</w:t>
            </w:r>
          </w:p>
        </w:tc>
        <w:tc>
          <w:tcPr>
            <w:tcW w:w="115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77</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69</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89.61</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广西</w:t>
            </w:r>
          </w:p>
        </w:tc>
        <w:tc>
          <w:tcPr>
            <w:tcW w:w="115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重庆</w:t>
            </w:r>
          </w:p>
        </w:tc>
        <w:tc>
          <w:tcPr>
            <w:tcW w:w="115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63</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61</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96.83</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湖南</w:t>
            </w:r>
          </w:p>
        </w:tc>
        <w:tc>
          <w:tcPr>
            <w:tcW w:w="115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66.67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新疆</w:t>
            </w:r>
          </w:p>
        </w:tc>
        <w:tc>
          <w:tcPr>
            <w:tcW w:w="115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48</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46</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95.83</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内蒙古</w:t>
            </w:r>
          </w:p>
        </w:tc>
        <w:tc>
          <w:tcPr>
            <w:tcW w:w="115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安徽</w:t>
            </w:r>
          </w:p>
        </w:tc>
        <w:tc>
          <w:tcPr>
            <w:tcW w:w="115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38</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37</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97.37</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山东</w:t>
            </w:r>
          </w:p>
        </w:tc>
        <w:tc>
          <w:tcPr>
            <w:tcW w:w="115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四川</w:t>
            </w:r>
          </w:p>
        </w:tc>
        <w:tc>
          <w:tcPr>
            <w:tcW w:w="115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27</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87.10</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陕西</w:t>
            </w:r>
          </w:p>
        </w:tc>
        <w:tc>
          <w:tcPr>
            <w:tcW w:w="115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037"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江苏</w:t>
            </w:r>
          </w:p>
        </w:tc>
        <w:tc>
          <w:tcPr>
            <w:tcW w:w="115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河北</w:t>
            </w:r>
          </w:p>
        </w:tc>
        <w:tc>
          <w:tcPr>
            <w:tcW w:w="115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云南</w:t>
            </w:r>
          </w:p>
        </w:tc>
        <w:tc>
          <w:tcPr>
            <w:tcW w:w="115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24</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23</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95.83</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江西</w:t>
            </w:r>
          </w:p>
        </w:tc>
        <w:tc>
          <w:tcPr>
            <w:tcW w:w="115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甘肃</w:t>
            </w:r>
          </w:p>
        </w:tc>
        <w:tc>
          <w:tcPr>
            <w:tcW w:w="115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19</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89.47</w:t>
            </w:r>
          </w:p>
        </w:tc>
        <w:tc>
          <w:tcPr>
            <w:tcW w:w="10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山西</w:t>
            </w:r>
          </w:p>
        </w:tc>
        <w:tc>
          <w:tcPr>
            <w:tcW w:w="115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03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37"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海南</w:t>
            </w:r>
          </w:p>
        </w:tc>
        <w:tc>
          <w:tcPr>
            <w:tcW w:w="115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19</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89.47</w:t>
            </w:r>
          </w:p>
        </w:tc>
        <w:tc>
          <w:tcPr>
            <w:tcW w:w="10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省外合计</w:t>
            </w:r>
          </w:p>
        </w:tc>
        <w:tc>
          <w:tcPr>
            <w:tcW w:w="115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784</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725</w:t>
            </w:r>
          </w:p>
        </w:tc>
        <w:tc>
          <w:tcPr>
            <w:tcW w:w="103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92.47</w:t>
            </w:r>
          </w:p>
        </w:tc>
      </w:tr>
    </w:tbl>
    <w:p>
      <w:pPr>
        <w:pStyle w:val="29"/>
        <w:spacing w:before="156" w:after="156"/>
      </w:pPr>
      <w:bookmarkStart w:id="17" w:name="_Toc503183012"/>
      <w:r>
        <w:rPr>
          <w:rFonts w:hint="eastAsia"/>
        </w:rPr>
        <w:t>（四）毕业生分民族就业率</w:t>
      </w:r>
      <w:bookmarkEnd w:id="17"/>
    </w:p>
    <w:p>
      <w:pPr>
        <w:pStyle w:val="21"/>
        <w:ind w:firstLine="480"/>
      </w:pPr>
      <w:r>
        <w:t>总体来看</w:t>
      </w:r>
      <w:r>
        <w:rPr>
          <w:rFonts w:hint="eastAsia"/>
        </w:rPr>
        <w:t>，</w:t>
      </w:r>
      <w:r>
        <w:t>汉族毕业生就业率要略高于少数民族</w:t>
      </w:r>
      <w:r>
        <w:rPr>
          <w:rFonts w:hint="eastAsia"/>
        </w:rPr>
        <w:t>，</w:t>
      </w:r>
      <w:r>
        <w:t>高</w:t>
      </w:r>
      <w:r>
        <w:rPr>
          <w:rFonts w:hint="eastAsia"/>
        </w:rPr>
        <w:t>2.</w:t>
      </w:r>
      <w:r>
        <w:t>24</w:t>
      </w:r>
      <w:r>
        <w:rPr>
          <w:rFonts w:hint="eastAsia"/>
        </w:rPr>
        <w:t>个百分点。其中汉族毕业生就业26</w:t>
      </w:r>
      <w:r>
        <w:t>27</w:t>
      </w:r>
      <w:r>
        <w:rPr>
          <w:rFonts w:hint="eastAsia"/>
        </w:rPr>
        <w:t>人，就业率为</w:t>
      </w:r>
      <w:r>
        <w:t>95.88</w:t>
      </w:r>
      <w:r>
        <w:rPr>
          <w:rFonts w:hint="eastAsia"/>
        </w:rPr>
        <w:t>%；少数民族毕业生就业</w:t>
      </w:r>
      <w:r>
        <w:t>589</w:t>
      </w:r>
      <w:r>
        <w:rPr>
          <w:rFonts w:hint="eastAsia"/>
        </w:rPr>
        <w:t>人，就业率为</w:t>
      </w:r>
      <w:r>
        <w:t>93.64</w:t>
      </w:r>
      <w:r>
        <w:rPr>
          <w:rFonts w:hint="eastAsia"/>
        </w:rPr>
        <w:t>%。</w:t>
      </w:r>
    </w:p>
    <w:p>
      <w:pPr>
        <w:widowControl/>
        <w:jc w:val="center"/>
        <w:rPr>
          <w:rFonts w:ascii="宋体" w:hAnsi="宋体" w:eastAsia="宋体" w:cs="宋体"/>
          <w:kern w:val="0"/>
          <w:sz w:val="24"/>
          <w:szCs w:val="24"/>
        </w:rPr>
      </w:pPr>
      <w:r>
        <w:drawing>
          <wp:inline distT="0" distB="0" distL="0" distR="0">
            <wp:extent cx="4747895" cy="2832735"/>
            <wp:effectExtent l="0" t="0" r="14605" b="571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6</w:t>
      </w:r>
      <w:r>
        <w:rPr>
          <w:szCs w:val="18"/>
        </w:rPr>
        <w:fldChar w:fldCharType="end"/>
      </w:r>
      <w:r>
        <w:rPr>
          <w:szCs w:val="18"/>
        </w:rPr>
        <w:t xml:space="preserve"> 2017</w:t>
      </w:r>
      <w:r>
        <w:rPr>
          <w:rFonts w:hint="eastAsia"/>
          <w:szCs w:val="18"/>
        </w:rPr>
        <w:t>届</w:t>
      </w:r>
      <w:r>
        <w:rPr>
          <w:rFonts w:hint="eastAsia" w:hAnsi="宋体" w:cs="宋体"/>
          <w:kern w:val="0"/>
          <w:szCs w:val="18"/>
        </w:rPr>
        <w:t>毕业生分民族就业率分布</w:t>
      </w:r>
    </w:p>
    <w:p>
      <w:pPr>
        <w:pStyle w:val="23"/>
        <w:rPr>
          <w:rFonts w:hAnsi="宋体" w:cs="宋体"/>
          <w:kern w:val="0"/>
          <w:szCs w:val="18"/>
        </w:rPr>
      </w:pPr>
      <w:r>
        <w:rPr>
          <w:rFonts w:hint="eastAsia"/>
          <w:szCs w:val="18"/>
        </w:rPr>
        <w:t>表1-</w:t>
      </w:r>
      <w:r>
        <w:rPr>
          <w:szCs w:val="18"/>
        </w:rPr>
        <w:fldChar w:fldCharType="begin"/>
      </w:r>
      <w:r>
        <w:rPr>
          <w:rFonts w:hint="eastAsia"/>
          <w:szCs w:val="18"/>
        </w:rPr>
        <w:instrText xml:space="preserve">SEQ 表1- \* ARABIC</w:instrText>
      </w:r>
      <w:r>
        <w:rPr>
          <w:szCs w:val="18"/>
        </w:rPr>
        <w:fldChar w:fldCharType="separate"/>
      </w:r>
      <w:r>
        <w:rPr>
          <w:szCs w:val="18"/>
        </w:rPr>
        <w:t>6</w:t>
      </w:r>
      <w:r>
        <w:rPr>
          <w:szCs w:val="18"/>
        </w:rPr>
        <w:fldChar w:fldCharType="end"/>
      </w:r>
      <w:r>
        <w:rPr>
          <w:szCs w:val="18"/>
        </w:rPr>
        <w:t xml:space="preserve"> 2017</w:t>
      </w:r>
      <w:r>
        <w:rPr>
          <w:rFonts w:hint="eastAsia"/>
          <w:szCs w:val="18"/>
        </w:rPr>
        <w:t>届</w:t>
      </w:r>
      <w:r>
        <w:rPr>
          <w:rFonts w:hint="eastAsia" w:hAnsi="宋体" w:cs="宋体"/>
          <w:kern w:val="0"/>
          <w:szCs w:val="18"/>
        </w:rPr>
        <w:t>少数民族毕业生就业率具体分布</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就业率（</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054"/>
        <w:gridCol w:w="1054"/>
        <w:gridCol w:w="1054"/>
        <w:gridCol w:w="1054"/>
        <w:gridCol w:w="1147"/>
        <w:gridCol w:w="1053"/>
        <w:gridCol w:w="1053"/>
        <w:gridCol w:w="1053"/>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民族</w:t>
            </w:r>
          </w:p>
        </w:tc>
        <w:tc>
          <w:tcPr>
            <w:tcW w:w="105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毕业人数</w:t>
            </w:r>
          </w:p>
        </w:tc>
        <w:tc>
          <w:tcPr>
            <w:tcW w:w="105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就业人数</w:t>
            </w:r>
          </w:p>
        </w:tc>
        <w:tc>
          <w:tcPr>
            <w:tcW w:w="105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就业率</w:t>
            </w:r>
          </w:p>
        </w:tc>
        <w:tc>
          <w:tcPr>
            <w:tcW w:w="1147"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民族</w:t>
            </w:r>
          </w:p>
        </w:tc>
        <w:tc>
          <w:tcPr>
            <w:tcW w:w="1053"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毕业人数</w:t>
            </w:r>
          </w:p>
        </w:tc>
        <w:tc>
          <w:tcPr>
            <w:tcW w:w="1053"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就业人数</w:t>
            </w:r>
          </w:p>
        </w:tc>
        <w:tc>
          <w:tcPr>
            <w:tcW w:w="1053"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就业率</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侗族</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22</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22</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柯尔克孜族</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布依族</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4</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4</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黎族</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仡佬族</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4</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4</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傈僳族</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白族</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纳西族</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054"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东乡族</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撒拉族</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蒙古族</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畲族</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其它</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维吾尔族</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39</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38</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97.44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哈尼族</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土家族</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305</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291</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95.41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哈萨克族</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回族</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19</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18</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94.74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塔吉克族</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苗族</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51</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48</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94.12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054"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壮族</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彝族</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12</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11</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91.67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朝鲜族</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4"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藏族</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142</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123</w:t>
            </w:r>
          </w:p>
        </w:tc>
        <w:tc>
          <w:tcPr>
            <w:tcW w:w="105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86.62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054" w:type="dxa"/>
            <w:shd w:val="clear" w:color="auto" w:fill="DEEAF6" w:themeFill="accent1" w:themeFillTint="33"/>
            <w:vAlign w:val="center"/>
          </w:tcPr>
          <w:p>
            <w:pPr>
              <w:widowControl/>
              <w:jc w:val="center"/>
              <w:rPr>
                <w:rFonts w:cs="宋体" w:asciiTheme="minorEastAsia" w:hAnsiTheme="minorEastAsia"/>
                <w:b w:val="0"/>
                <w:bCs/>
                <w:color w:val="000000"/>
                <w:kern w:val="0"/>
                <w:sz w:val="18"/>
                <w:szCs w:val="18"/>
              </w:rPr>
            </w:pPr>
            <w:r>
              <w:rPr>
                <w:rFonts w:hint="eastAsia" w:cs="宋体" w:asciiTheme="minorEastAsia" w:hAnsiTheme="minorEastAsia"/>
                <w:b w:val="0"/>
                <w:bCs/>
                <w:color w:val="000000"/>
                <w:kern w:val="0"/>
                <w:sz w:val="18"/>
                <w:szCs w:val="18"/>
              </w:rPr>
              <w:t>傣族</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054"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100.00</w:t>
            </w:r>
          </w:p>
        </w:tc>
        <w:tc>
          <w:tcPr>
            <w:tcW w:w="1147"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土族</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05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66.67</w:t>
            </w:r>
          </w:p>
        </w:tc>
      </w:tr>
    </w:tbl>
    <w:p>
      <w:pPr>
        <w:pStyle w:val="29"/>
        <w:spacing w:before="156" w:after="156"/>
      </w:pPr>
      <w:bookmarkStart w:id="18" w:name="_Toc503183013"/>
      <w:r>
        <w:rPr>
          <w:rFonts w:hint="eastAsia"/>
        </w:rPr>
        <w:t>（五）毕业生分困难生类别就业率</w:t>
      </w:r>
      <w:bookmarkEnd w:id="18"/>
    </w:p>
    <w:p>
      <w:pPr>
        <w:pStyle w:val="21"/>
        <w:ind w:firstLine="480"/>
      </w:pPr>
      <w:r>
        <w:t>总体来看</w:t>
      </w:r>
      <w:r>
        <w:rPr>
          <w:rFonts w:hint="eastAsia"/>
        </w:rPr>
        <w:t>，</w:t>
      </w:r>
      <w:r>
        <w:t>困难毕业生就业率要略高于非困难生</w:t>
      </w:r>
      <w:r>
        <w:rPr>
          <w:rFonts w:hint="eastAsia"/>
        </w:rPr>
        <w:t>，</w:t>
      </w:r>
      <w:r>
        <w:t>高</w:t>
      </w:r>
      <w:r>
        <w:rPr>
          <w:rFonts w:hint="eastAsia"/>
        </w:rPr>
        <w:t>2</w:t>
      </w:r>
      <w:r>
        <w:t>.32个百分点</w:t>
      </w:r>
      <w:r>
        <w:rPr>
          <w:rFonts w:hint="eastAsia"/>
        </w:rPr>
        <w:t>。</w:t>
      </w:r>
      <w:r>
        <w:t>其中非困难毕业生就业</w:t>
      </w:r>
      <w:r>
        <w:rPr>
          <w:rFonts w:hint="eastAsia"/>
        </w:rPr>
        <w:t>21</w:t>
      </w:r>
      <w:r>
        <w:t>17</w:t>
      </w:r>
      <w:r>
        <w:rPr>
          <w:rFonts w:hint="eastAsia"/>
        </w:rPr>
        <w:t>人，就业率为</w:t>
      </w:r>
      <w:r>
        <w:t>94.68</w:t>
      </w:r>
      <w:r>
        <w:rPr>
          <w:rFonts w:hint="eastAsia"/>
        </w:rPr>
        <w:t>%；困难生就业</w:t>
      </w:r>
      <w:r>
        <w:t>1099</w:t>
      </w:r>
      <w:r>
        <w:rPr>
          <w:rFonts w:hint="eastAsia"/>
        </w:rPr>
        <w:t>人，就业率为</w:t>
      </w:r>
      <w:r>
        <w:t>97.00</w:t>
      </w:r>
      <w:r>
        <w:rPr>
          <w:rFonts w:hint="eastAsia"/>
        </w:rPr>
        <w:t>%。</w:t>
      </w:r>
    </w:p>
    <w:p>
      <w:pPr>
        <w:pStyle w:val="23"/>
        <w:rPr>
          <w:rFonts w:hAnsi="宋体" w:cs="宋体"/>
          <w:kern w:val="0"/>
          <w:szCs w:val="18"/>
        </w:rPr>
      </w:pPr>
      <w:r>
        <w:rPr>
          <w:rFonts w:hint="eastAsia"/>
          <w:szCs w:val="18"/>
        </w:rPr>
        <w:t>表1-</w:t>
      </w:r>
      <w:r>
        <w:rPr>
          <w:szCs w:val="18"/>
        </w:rPr>
        <w:fldChar w:fldCharType="begin"/>
      </w:r>
      <w:r>
        <w:rPr>
          <w:rFonts w:hint="eastAsia"/>
          <w:szCs w:val="18"/>
        </w:rPr>
        <w:instrText xml:space="preserve">SEQ 表1- \* ARABIC</w:instrText>
      </w:r>
      <w:r>
        <w:rPr>
          <w:szCs w:val="18"/>
        </w:rPr>
        <w:fldChar w:fldCharType="separate"/>
      </w:r>
      <w:r>
        <w:rPr>
          <w:szCs w:val="18"/>
        </w:rPr>
        <w:t>7</w:t>
      </w:r>
      <w:r>
        <w:rPr>
          <w:szCs w:val="18"/>
        </w:rPr>
        <w:fldChar w:fldCharType="end"/>
      </w:r>
      <w:r>
        <w:rPr>
          <w:szCs w:val="18"/>
        </w:rPr>
        <w:t xml:space="preserve"> 2017</w:t>
      </w:r>
      <w:r>
        <w:rPr>
          <w:rFonts w:hint="eastAsia"/>
          <w:szCs w:val="18"/>
        </w:rPr>
        <w:t>届</w:t>
      </w:r>
      <w:r>
        <w:rPr>
          <w:rFonts w:hint="eastAsia" w:hAnsi="宋体" w:cs="宋体"/>
          <w:kern w:val="0"/>
          <w:szCs w:val="18"/>
        </w:rPr>
        <w:t>毕业生分困难生类别就业率</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就业率（</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类别</w:t>
            </w:r>
          </w:p>
        </w:tc>
        <w:tc>
          <w:tcPr>
            <w:tcW w:w="213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就业人数</w:t>
            </w:r>
          </w:p>
        </w:tc>
        <w:tc>
          <w:tcPr>
            <w:tcW w:w="2131"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毕业人数</w:t>
            </w:r>
          </w:p>
        </w:tc>
        <w:tc>
          <w:tcPr>
            <w:tcW w:w="2131"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就业率</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85" w:hRule="atLeast"/>
        </w:trPr>
        <w:tc>
          <w:tcPr>
            <w:tcW w:w="2130" w:type="dxa"/>
            <w:shd w:val="clear" w:color="auto" w:fill="DEEAF6" w:themeFill="accent1" w:themeFillTint="33"/>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非困难生</w:t>
            </w:r>
          </w:p>
        </w:tc>
        <w:tc>
          <w:tcPr>
            <w:tcW w:w="2130"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2117</w:t>
            </w:r>
          </w:p>
        </w:tc>
        <w:tc>
          <w:tcPr>
            <w:tcW w:w="2131"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2236</w:t>
            </w:r>
          </w:p>
        </w:tc>
        <w:tc>
          <w:tcPr>
            <w:tcW w:w="2131"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94.68%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30"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困难生</w:t>
            </w:r>
          </w:p>
        </w:tc>
        <w:tc>
          <w:tcPr>
            <w:tcW w:w="2130"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1099</w:t>
            </w:r>
          </w:p>
        </w:tc>
        <w:tc>
          <w:tcPr>
            <w:tcW w:w="2131"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1133</w:t>
            </w:r>
          </w:p>
        </w:tc>
        <w:tc>
          <w:tcPr>
            <w:tcW w:w="2131"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97.00%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8522" w:type="dxa"/>
            <w:gridSpan w:val="4"/>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分困难生就业率</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30"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残疾</w:t>
            </w:r>
          </w:p>
        </w:tc>
        <w:tc>
          <w:tcPr>
            <w:tcW w:w="2130"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4</w:t>
            </w:r>
          </w:p>
        </w:tc>
        <w:tc>
          <w:tcPr>
            <w:tcW w:w="2131"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5</w:t>
            </w:r>
          </w:p>
        </w:tc>
        <w:tc>
          <w:tcPr>
            <w:tcW w:w="2131"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80.00%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2130" w:type="dxa"/>
            <w:shd w:val="clear" w:color="auto" w:fill="DEEAF6" w:themeFill="accent1" w:themeFillTint="33"/>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家庭困难</w:t>
            </w:r>
          </w:p>
        </w:tc>
        <w:tc>
          <w:tcPr>
            <w:tcW w:w="2130"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954</w:t>
            </w:r>
          </w:p>
        </w:tc>
        <w:tc>
          <w:tcPr>
            <w:tcW w:w="2131"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984</w:t>
            </w:r>
          </w:p>
        </w:tc>
        <w:tc>
          <w:tcPr>
            <w:tcW w:w="2131"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96.95%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130"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就业困难</w:t>
            </w:r>
          </w:p>
        </w:tc>
        <w:tc>
          <w:tcPr>
            <w:tcW w:w="2130"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141</w:t>
            </w:r>
          </w:p>
        </w:tc>
        <w:tc>
          <w:tcPr>
            <w:tcW w:w="2131"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144</w:t>
            </w:r>
          </w:p>
        </w:tc>
        <w:tc>
          <w:tcPr>
            <w:tcW w:w="2131"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97.92%</w:t>
            </w:r>
          </w:p>
        </w:tc>
      </w:tr>
    </w:tbl>
    <w:p>
      <w:pPr>
        <w:pStyle w:val="19"/>
        <w:spacing w:before="156" w:after="156"/>
      </w:pPr>
      <w:bookmarkStart w:id="19" w:name="_Toc503183014"/>
      <w:r>
        <w:rPr>
          <w:rFonts w:hint="eastAsia"/>
        </w:rPr>
        <w:t>三</w:t>
      </w:r>
      <w:r>
        <w:t>、</w:t>
      </w:r>
      <w:r>
        <w:rPr>
          <w:rFonts w:hint="eastAsia"/>
        </w:rPr>
        <w:t>2017届毕业</w:t>
      </w:r>
      <w:r>
        <w:t>生</w:t>
      </w:r>
      <w:r>
        <w:rPr>
          <w:rFonts w:hint="eastAsia"/>
        </w:rPr>
        <w:t>就业特色分析</w:t>
      </w:r>
      <w:bookmarkEnd w:id="19"/>
    </w:p>
    <w:p>
      <w:pPr>
        <w:pStyle w:val="29"/>
        <w:spacing w:before="156" w:after="156"/>
      </w:pPr>
      <w:bookmarkStart w:id="20" w:name="_Toc503183015"/>
      <w:r>
        <w:rPr>
          <w:rFonts w:hint="eastAsia"/>
        </w:rPr>
        <w:t>（一）毕业生毕业去向</w:t>
      </w:r>
      <w:bookmarkEnd w:id="20"/>
    </w:p>
    <w:p>
      <w:pPr>
        <w:pStyle w:val="21"/>
        <w:ind w:firstLine="480"/>
      </w:pPr>
      <w:r>
        <w:t>总体来看</w:t>
      </w:r>
      <w:r>
        <w:rPr>
          <w:rFonts w:hint="eastAsia"/>
        </w:rPr>
        <w:t>，2017届毕业生毕业去向共有6类，按照从高到低排序分别是协议就业（</w:t>
      </w:r>
      <w:r>
        <w:t>1799</w:t>
      </w:r>
      <w:r>
        <w:rPr>
          <w:rFonts w:hint="eastAsia"/>
        </w:rPr>
        <w:t>人，</w:t>
      </w:r>
      <w:r>
        <w:t>53.40</w:t>
      </w:r>
      <w:r>
        <w:rPr>
          <w:rFonts w:hint="eastAsia"/>
        </w:rPr>
        <w:t>%）；灵活就业（1361人，40.40%）；待就业（</w:t>
      </w:r>
      <w:r>
        <w:t>153</w:t>
      </w:r>
      <w:r>
        <w:rPr>
          <w:rFonts w:hint="eastAsia"/>
        </w:rPr>
        <w:t>人，</w:t>
      </w:r>
      <w:r>
        <w:t>4.54</w:t>
      </w:r>
      <w:r>
        <w:rPr>
          <w:rFonts w:hint="eastAsia"/>
        </w:rPr>
        <w:t>%）；升学（47人，1.40%）；自主创业（8人，0.24%）；自由职业（</w:t>
      </w:r>
      <w:r>
        <w:t>1</w:t>
      </w:r>
      <w:r>
        <w:rPr>
          <w:rFonts w:hint="eastAsia"/>
        </w:rPr>
        <w:t>人，0.03%）。</w:t>
      </w:r>
    </w:p>
    <w:p>
      <w:pPr>
        <w:widowControl/>
        <w:jc w:val="center"/>
        <w:rPr>
          <w:rFonts w:ascii="宋体" w:hAnsi="宋体" w:eastAsia="宋体" w:cs="宋体"/>
          <w:kern w:val="0"/>
          <w:sz w:val="24"/>
          <w:szCs w:val="24"/>
        </w:rPr>
      </w:pPr>
      <w:r>
        <w:drawing>
          <wp:inline distT="0" distB="0" distL="0" distR="0">
            <wp:extent cx="4958715" cy="2811145"/>
            <wp:effectExtent l="0" t="0" r="13335" b="8255"/>
            <wp:docPr id="218" name="图表 2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7</w:t>
      </w:r>
      <w:r>
        <w:rPr>
          <w:szCs w:val="18"/>
        </w:rPr>
        <w:fldChar w:fldCharType="end"/>
      </w:r>
      <w:r>
        <w:rPr>
          <w:szCs w:val="18"/>
        </w:rPr>
        <w:t xml:space="preserve"> 2017</w:t>
      </w:r>
      <w:r>
        <w:rPr>
          <w:rFonts w:hint="eastAsia"/>
          <w:szCs w:val="18"/>
        </w:rPr>
        <w:t>届</w:t>
      </w:r>
      <w:r>
        <w:rPr>
          <w:rFonts w:hint="eastAsia" w:hAnsi="宋体" w:cs="宋体"/>
          <w:kern w:val="0"/>
          <w:szCs w:val="18"/>
        </w:rPr>
        <w:t>毕业生毕业去向分布</w:t>
      </w:r>
    </w:p>
    <w:p>
      <w:pPr>
        <w:pStyle w:val="29"/>
        <w:spacing w:before="156" w:after="156"/>
      </w:pPr>
      <w:bookmarkStart w:id="21" w:name="_Toc503183016"/>
      <w:r>
        <w:rPr>
          <w:rFonts w:hint="eastAsia"/>
        </w:rPr>
        <w:t>（二）毕业生就业单位性质</w:t>
      </w:r>
      <w:bookmarkEnd w:id="21"/>
    </w:p>
    <w:p>
      <w:pPr>
        <w:pStyle w:val="21"/>
        <w:ind w:firstLine="480"/>
      </w:pPr>
      <w:r>
        <w:t>总体来看</w:t>
      </w:r>
      <w:r>
        <w:rPr>
          <w:rFonts w:hint="eastAsia"/>
        </w:rPr>
        <w:t>，2</w:t>
      </w:r>
      <w:r>
        <w:t>017届毕业生就业单位性质主要</w:t>
      </w:r>
      <w:r>
        <w:rPr>
          <w:rFonts w:hint="eastAsia"/>
        </w:rPr>
        <w:t>为</w:t>
      </w:r>
      <w:r>
        <w:t>医疗卫生单位</w:t>
      </w:r>
      <w:r>
        <w:rPr>
          <w:rFonts w:hint="eastAsia"/>
        </w:rPr>
        <w:t>、</w:t>
      </w:r>
      <w:r>
        <w:t>其他企业等</w:t>
      </w:r>
      <w:r>
        <w:rPr>
          <w:rFonts w:hint="eastAsia"/>
        </w:rPr>
        <w:t>，</w:t>
      </w:r>
      <w:r>
        <w:t>占比分别为46.08</w:t>
      </w:r>
      <w:r>
        <w:rPr>
          <w:rFonts w:hint="eastAsia"/>
        </w:rPr>
        <w:t>%、3</w:t>
      </w:r>
      <w:r>
        <w:t>8.80</w:t>
      </w:r>
      <w:r>
        <w:rPr>
          <w:rFonts w:hint="eastAsia"/>
        </w:rPr>
        <w:t>%；此外还有部分毕业生流向城镇社区、地方基层项目、国家基层项目等。说明学校始终坚持“质量立校、特色兴校、品牌强校”办学理念，源源不断地为社会输送各类技能人才。</w:t>
      </w:r>
    </w:p>
    <w:p>
      <w:pPr>
        <w:pStyle w:val="23"/>
        <w:rPr>
          <w:rFonts w:hAnsi="宋体" w:cs="宋体"/>
          <w:kern w:val="0"/>
          <w:szCs w:val="18"/>
        </w:rPr>
      </w:pPr>
      <w:r>
        <w:rPr>
          <w:rFonts w:hint="eastAsia"/>
          <w:szCs w:val="18"/>
        </w:rPr>
        <w:t>表1-</w:t>
      </w:r>
      <w:r>
        <w:rPr>
          <w:szCs w:val="18"/>
        </w:rPr>
        <w:fldChar w:fldCharType="begin"/>
      </w:r>
      <w:r>
        <w:rPr>
          <w:rFonts w:hint="eastAsia"/>
          <w:szCs w:val="18"/>
        </w:rPr>
        <w:instrText xml:space="preserve">SEQ 表1- \* ARABIC</w:instrText>
      </w:r>
      <w:r>
        <w:rPr>
          <w:szCs w:val="18"/>
        </w:rPr>
        <w:fldChar w:fldCharType="separate"/>
      </w:r>
      <w:r>
        <w:rPr>
          <w:szCs w:val="18"/>
        </w:rPr>
        <w:t>8</w:t>
      </w:r>
      <w:r>
        <w:rPr>
          <w:szCs w:val="18"/>
        </w:rPr>
        <w:fldChar w:fldCharType="end"/>
      </w:r>
      <w:r>
        <w:rPr>
          <w:szCs w:val="18"/>
        </w:rPr>
        <w:t xml:space="preserve"> 2017</w:t>
      </w:r>
      <w:r>
        <w:rPr>
          <w:rFonts w:hint="eastAsia"/>
          <w:szCs w:val="18"/>
        </w:rPr>
        <w:t>届</w:t>
      </w:r>
      <w:r>
        <w:rPr>
          <w:rFonts w:hint="eastAsia" w:hAnsi="宋体" w:cs="宋体"/>
          <w:kern w:val="0"/>
          <w:szCs w:val="18"/>
        </w:rPr>
        <w:t>毕业生就业单位性质分布</w:t>
      </w:r>
    </w:p>
    <w:p>
      <w:pPr>
        <w:pStyle w:val="23"/>
        <w:jc w:val="right"/>
        <w:rPr>
          <w:rFonts w:hAnsi="宋体" w:cs="宋体"/>
          <w:kern w:val="0"/>
          <w:szCs w:val="18"/>
        </w:rPr>
      </w:pPr>
      <w:r>
        <w:rPr>
          <w:rFonts w:hint="eastAsia" w:hAnsi="宋体" w:cs="宋体"/>
          <w:kern w:val="0"/>
          <w:szCs w:val="18"/>
        </w:rPr>
        <w:t>单位：人数</w:t>
      </w:r>
      <w:r>
        <w:rPr>
          <w:rFonts w:hAnsi="宋体" w:cs="宋体"/>
          <w:kern w:val="0"/>
          <w:szCs w:val="18"/>
        </w:rPr>
        <w:t>（</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比例（</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2841"/>
        <w:gridCol w:w="2841"/>
        <w:gridCol w:w="2840"/>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单位性质</w:t>
            </w:r>
          </w:p>
        </w:tc>
        <w:tc>
          <w:tcPr>
            <w:tcW w:w="2841"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人数</w:t>
            </w:r>
          </w:p>
        </w:tc>
        <w:tc>
          <w:tcPr>
            <w:tcW w:w="2840"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占比</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医疗卫生单位</w:t>
            </w:r>
          </w:p>
        </w:tc>
        <w:tc>
          <w:tcPr>
            <w:tcW w:w="284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1456</w:t>
            </w:r>
          </w:p>
        </w:tc>
        <w:tc>
          <w:tcPr>
            <w:tcW w:w="284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46.08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其他企业</w:t>
            </w:r>
          </w:p>
        </w:tc>
        <w:tc>
          <w:tcPr>
            <w:tcW w:w="284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1226</w:t>
            </w:r>
          </w:p>
        </w:tc>
        <w:tc>
          <w:tcPr>
            <w:tcW w:w="284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38.80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中初教育单位</w:t>
            </w:r>
          </w:p>
        </w:tc>
        <w:tc>
          <w:tcPr>
            <w:tcW w:w="284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236</w:t>
            </w:r>
          </w:p>
        </w:tc>
        <w:tc>
          <w:tcPr>
            <w:tcW w:w="284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7.47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三资企业</w:t>
            </w:r>
          </w:p>
        </w:tc>
        <w:tc>
          <w:tcPr>
            <w:tcW w:w="284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160</w:t>
            </w:r>
          </w:p>
        </w:tc>
        <w:tc>
          <w:tcPr>
            <w:tcW w:w="284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284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其他事业单位</w:t>
            </w:r>
          </w:p>
        </w:tc>
        <w:tc>
          <w:tcPr>
            <w:tcW w:w="284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w:t>
            </w:r>
          </w:p>
        </w:tc>
        <w:tc>
          <w:tcPr>
            <w:tcW w:w="284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部队</w:t>
            </w:r>
          </w:p>
        </w:tc>
        <w:tc>
          <w:tcPr>
            <w:tcW w:w="284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16</w:t>
            </w:r>
          </w:p>
        </w:tc>
        <w:tc>
          <w:tcPr>
            <w:tcW w:w="284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0.51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国有企业</w:t>
            </w:r>
          </w:p>
        </w:tc>
        <w:tc>
          <w:tcPr>
            <w:tcW w:w="284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w:t>
            </w:r>
          </w:p>
        </w:tc>
        <w:tc>
          <w:tcPr>
            <w:tcW w:w="284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0.38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机关</w:t>
            </w:r>
          </w:p>
        </w:tc>
        <w:tc>
          <w:tcPr>
            <w:tcW w:w="284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w:t>
            </w:r>
          </w:p>
        </w:tc>
        <w:tc>
          <w:tcPr>
            <w:tcW w:w="284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0.25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高等教育单位</w:t>
            </w:r>
          </w:p>
        </w:tc>
        <w:tc>
          <w:tcPr>
            <w:tcW w:w="284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w:t>
            </w:r>
          </w:p>
        </w:tc>
        <w:tc>
          <w:tcPr>
            <w:tcW w:w="284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0.19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城镇社区</w:t>
            </w:r>
          </w:p>
        </w:tc>
        <w:tc>
          <w:tcPr>
            <w:tcW w:w="284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w:t>
            </w:r>
          </w:p>
        </w:tc>
        <w:tc>
          <w:tcPr>
            <w:tcW w:w="284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284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地方基层项目</w:t>
            </w:r>
          </w:p>
        </w:tc>
        <w:tc>
          <w:tcPr>
            <w:tcW w:w="284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w:t>
            </w:r>
          </w:p>
        </w:tc>
        <w:tc>
          <w:tcPr>
            <w:tcW w:w="284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国家基层项目</w:t>
            </w:r>
          </w:p>
        </w:tc>
        <w:tc>
          <w:tcPr>
            <w:tcW w:w="284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284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1" w:type="dxa"/>
            <w:shd w:val="clear" w:color="auto" w:fill="DEEAF6" w:themeFill="accent1" w:themeFillTint="33"/>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总计</w:t>
            </w:r>
          </w:p>
        </w:tc>
        <w:tc>
          <w:tcPr>
            <w:tcW w:w="2841" w:type="dxa"/>
            <w:shd w:val="clear" w:color="auto" w:fill="DEEAF6" w:themeFill="accent1" w:themeFillTint="33"/>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3160</w:t>
            </w:r>
          </w:p>
        </w:tc>
        <w:tc>
          <w:tcPr>
            <w:tcW w:w="2840" w:type="dxa"/>
            <w:shd w:val="clear" w:color="auto" w:fill="DEEAF6" w:themeFill="accent1" w:themeFillTint="33"/>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100.00</w:t>
            </w:r>
          </w:p>
        </w:tc>
      </w:tr>
    </w:tbl>
    <w:p>
      <w:pPr>
        <w:widowControl/>
        <w:jc w:val="left"/>
        <w:rPr>
          <w:rFonts w:ascii="宋体" w:hAnsi="宋体" w:eastAsia="宋体" w:cs="宋体"/>
          <w:kern w:val="0"/>
          <w:sz w:val="18"/>
          <w:szCs w:val="24"/>
        </w:rPr>
      </w:pPr>
      <w:r>
        <w:rPr>
          <w:rFonts w:ascii="宋体" w:hAnsi="宋体" w:eastAsia="宋体" w:cs="宋体"/>
          <w:kern w:val="0"/>
          <w:sz w:val="18"/>
          <w:szCs w:val="24"/>
        </w:rPr>
        <w:t>备注</w:t>
      </w:r>
      <w:r>
        <w:rPr>
          <w:rFonts w:hint="eastAsia" w:ascii="宋体" w:hAnsi="宋体" w:eastAsia="宋体" w:cs="宋体"/>
          <w:kern w:val="0"/>
          <w:sz w:val="18"/>
          <w:szCs w:val="24"/>
        </w:rPr>
        <w:t>：</w:t>
      </w:r>
      <w:r>
        <w:rPr>
          <w:rFonts w:ascii="宋体" w:hAnsi="宋体" w:eastAsia="宋体" w:cs="宋体"/>
          <w:kern w:val="0"/>
          <w:sz w:val="18"/>
          <w:szCs w:val="24"/>
        </w:rPr>
        <w:t>本部分仅针对协议就业</w:t>
      </w:r>
      <w:r>
        <w:rPr>
          <w:rFonts w:hint="eastAsia" w:ascii="宋体" w:hAnsi="宋体" w:eastAsia="宋体" w:cs="宋体"/>
          <w:kern w:val="0"/>
          <w:sz w:val="18"/>
          <w:szCs w:val="24"/>
        </w:rPr>
        <w:t>、</w:t>
      </w:r>
      <w:r>
        <w:rPr>
          <w:rFonts w:ascii="宋体" w:hAnsi="宋体" w:eastAsia="宋体" w:cs="宋体"/>
          <w:kern w:val="0"/>
          <w:sz w:val="18"/>
          <w:szCs w:val="24"/>
        </w:rPr>
        <w:t>灵活就业的3160</w:t>
      </w:r>
      <w:r>
        <w:rPr>
          <w:rFonts w:hint="eastAsia" w:ascii="宋体" w:hAnsi="宋体" w:eastAsia="宋体" w:cs="宋体"/>
          <w:kern w:val="0"/>
          <w:sz w:val="18"/>
          <w:szCs w:val="24"/>
        </w:rPr>
        <w:t>名毕业生进行分析。</w:t>
      </w:r>
    </w:p>
    <w:p>
      <w:pPr>
        <w:pStyle w:val="29"/>
        <w:spacing w:before="156" w:after="156"/>
      </w:pPr>
      <w:bookmarkStart w:id="22" w:name="_Toc503183017"/>
      <w:r>
        <w:rPr>
          <w:rFonts w:hint="eastAsia"/>
        </w:rPr>
        <w:t>（三）毕业生就业单位行业</w:t>
      </w:r>
      <w:bookmarkEnd w:id="22"/>
    </w:p>
    <w:p>
      <w:pPr>
        <w:pStyle w:val="21"/>
        <w:ind w:firstLine="480"/>
      </w:pPr>
      <w:r>
        <w:rPr>
          <w:rFonts w:hint="eastAsia"/>
        </w:rPr>
        <w:t>2017届毕业生就业单位行业排名前三的分别是“卫生和社会工作”“制造业”“教育业”，占比分别为</w:t>
      </w:r>
      <w:r>
        <w:t>47.64</w:t>
      </w:r>
      <w:r>
        <w:rPr>
          <w:rFonts w:hint="eastAsia"/>
        </w:rPr>
        <w:t>%、9</w:t>
      </w:r>
      <w:r>
        <w:t>.86</w:t>
      </w:r>
      <w:r>
        <w:rPr>
          <w:rFonts w:hint="eastAsia"/>
        </w:rPr>
        <w:t>%、8</w:t>
      </w:r>
      <w:r>
        <w:t>.88</w:t>
      </w:r>
      <w:r>
        <w:rPr>
          <w:rFonts w:hint="eastAsia"/>
        </w:rPr>
        <w:t>%。</w:t>
      </w:r>
      <w:r>
        <w:t>详见下图</w:t>
      </w:r>
      <w:r>
        <w:rPr>
          <w:rFonts w:hint="eastAsia"/>
        </w:rPr>
        <w:t>。</w:t>
      </w:r>
    </w:p>
    <w:p>
      <w:pPr>
        <w:widowControl/>
        <w:jc w:val="center"/>
        <w:rPr>
          <w:rFonts w:ascii="宋体" w:hAnsi="宋体" w:eastAsia="宋体" w:cs="宋体"/>
          <w:kern w:val="0"/>
          <w:sz w:val="24"/>
          <w:szCs w:val="24"/>
        </w:rPr>
      </w:pPr>
      <w:r>
        <w:drawing>
          <wp:inline distT="0" distB="0" distL="0" distR="0">
            <wp:extent cx="5274310" cy="4298315"/>
            <wp:effectExtent l="0" t="0" r="2540" b="6985"/>
            <wp:docPr id="220" name="图表 2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8</w:t>
      </w:r>
      <w:r>
        <w:rPr>
          <w:szCs w:val="18"/>
        </w:rPr>
        <w:fldChar w:fldCharType="end"/>
      </w:r>
      <w:r>
        <w:rPr>
          <w:szCs w:val="18"/>
        </w:rPr>
        <w:t xml:space="preserve"> 2017</w:t>
      </w:r>
      <w:r>
        <w:rPr>
          <w:rFonts w:hint="eastAsia"/>
          <w:szCs w:val="18"/>
        </w:rPr>
        <w:t>届</w:t>
      </w:r>
      <w:r>
        <w:rPr>
          <w:rFonts w:hint="eastAsia" w:hAnsi="宋体" w:cs="宋体"/>
          <w:kern w:val="0"/>
          <w:szCs w:val="18"/>
        </w:rPr>
        <w:t>毕业生就业单位行业分布</w:t>
      </w:r>
    </w:p>
    <w:p>
      <w:pPr>
        <w:widowControl/>
        <w:jc w:val="left"/>
        <w:rPr>
          <w:rFonts w:ascii="宋体" w:hAnsi="宋体" w:eastAsia="宋体" w:cs="宋体"/>
          <w:kern w:val="0"/>
          <w:sz w:val="18"/>
          <w:szCs w:val="24"/>
        </w:rPr>
      </w:pPr>
      <w:r>
        <w:rPr>
          <w:rFonts w:ascii="宋体" w:hAnsi="宋体" w:eastAsia="宋体" w:cs="宋体"/>
          <w:kern w:val="0"/>
          <w:sz w:val="18"/>
          <w:szCs w:val="24"/>
        </w:rPr>
        <w:t>备注</w:t>
      </w:r>
      <w:r>
        <w:rPr>
          <w:rFonts w:hint="eastAsia" w:ascii="宋体" w:hAnsi="宋体" w:eastAsia="宋体" w:cs="宋体"/>
          <w:kern w:val="0"/>
          <w:sz w:val="18"/>
          <w:szCs w:val="24"/>
        </w:rPr>
        <w:t>：</w:t>
      </w:r>
      <w:r>
        <w:rPr>
          <w:rFonts w:ascii="宋体" w:hAnsi="宋体" w:eastAsia="宋体" w:cs="宋体"/>
          <w:kern w:val="0"/>
          <w:sz w:val="18"/>
          <w:szCs w:val="24"/>
        </w:rPr>
        <w:t>本部分仅针对协议就业</w:t>
      </w:r>
      <w:r>
        <w:rPr>
          <w:rFonts w:hint="eastAsia" w:ascii="宋体" w:hAnsi="宋体" w:eastAsia="宋体" w:cs="宋体"/>
          <w:kern w:val="0"/>
          <w:sz w:val="18"/>
          <w:szCs w:val="24"/>
        </w:rPr>
        <w:t>、</w:t>
      </w:r>
      <w:r>
        <w:rPr>
          <w:rFonts w:ascii="宋体" w:hAnsi="宋体" w:eastAsia="宋体" w:cs="宋体"/>
          <w:kern w:val="0"/>
          <w:sz w:val="18"/>
          <w:szCs w:val="24"/>
        </w:rPr>
        <w:t>灵活就业的3160</w:t>
      </w:r>
      <w:r>
        <w:rPr>
          <w:rFonts w:hint="eastAsia" w:ascii="宋体" w:hAnsi="宋体" w:eastAsia="宋体" w:cs="宋体"/>
          <w:kern w:val="0"/>
          <w:sz w:val="18"/>
          <w:szCs w:val="24"/>
        </w:rPr>
        <w:t>名毕业生进行分析。</w:t>
      </w:r>
    </w:p>
    <w:p>
      <w:pPr>
        <w:pStyle w:val="29"/>
        <w:spacing w:before="156" w:after="156"/>
      </w:pPr>
      <w:bookmarkStart w:id="23" w:name="_Toc503183018"/>
      <w:r>
        <w:rPr>
          <w:rFonts w:hint="eastAsia"/>
        </w:rPr>
        <w:t>（四）毕业生就业职位类别</w:t>
      </w:r>
      <w:bookmarkEnd w:id="23"/>
    </w:p>
    <w:p>
      <w:pPr>
        <w:pStyle w:val="21"/>
        <w:ind w:firstLine="480"/>
      </w:pPr>
      <w:r>
        <w:rPr>
          <w:rFonts w:hint="eastAsia"/>
        </w:rPr>
        <w:t>2017届毕业生就业职位类别排名前三的分别是“卫生专业技术人员”“其他人员”“教学人员”，</w:t>
      </w:r>
      <w:r>
        <w:t>占比分别是46.86</w:t>
      </w:r>
      <w:r>
        <w:rPr>
          <w:rFonts w:hint="eastAsia"/>
        </w:rPr>
        <w:t>%、</w:t>
      </w:r>
      <w:r>
        <w:t>10.15</w:t>
      </w:r>
      <w:r>
        <w:rPr>
          <w:rFonts w:hint="eastAsia"/>
        </w:rPr>
        <w:t>%、8</w:t>
      </w:r>
      <w:r>
        <w:t>.28</w:t>
      </w:r>
      <w:r>
        <w:rPr>
          <w:rFonts w:hint="eastAsia"/>
        </w:rPr>
        <w:t>%。</w:t>
      </w:r>
    </w:p>
    <w:p>
      <w:pPr>
        <w:widowControl/>
        <w:jc w:val="left"/>
        <w:rPr>
          <w:rFonts w:ascii="宋体" w:hAnsi="宋体" w:eastAsia="宋体" w:cs="宋体"/>
          <w:kern w:val="0"/>
          <w:sz w:val="24"/>
          <w:szCs w:val="24"/>
        </w:rPr>
      </w:pPr>
      <w:r>
        <w:drawing>
          <wp:inline distT="0" distB="0" distL="0" distR="0">
            <wp:extent cx="5274310" cy="2571750"/>
            <wp:effectExtent l="0" t="0" r="2540" b="0"/>
            <wp:docPr id="219" name="图表 2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pStyle w:val="23"/>
        <w:rPr>
          <w:rFonts w:hAnsi="宋体" w:cs="宋体"/>
          <w:kern w:val="0"/>
          <w:sz w:val="24"/>
          <w:szCs w:val="24"/>
        </w:rPr>
      </w:pPr>
      <w:r>
        <w:rPr>
          <w:rFonts w:hint="eastAsia"/>
        </w:rPr>
        <w:t>图1-</w:t>
      </w:r>
      <w:r>
        <w:fldChar w:fldCharType="begin"/>
      </w:r>
      <w:r>
        <w:rPr>
          <w:rFonts w:hint="eastAsia"/>
        </w:rPr>
        <w:instrText xml:space="preserve">SEQ 图1- \* ARABIC</w:instrText>
      </w:r>
      <w:r>
        <w:fldChar w:fldCharType="separate"/>
      </w:r>
      <w:r>
        <w:t>9</w:t>
      </w:r>
      <w:r>
        <w:fldChar w:fldCharType="end"/>
      </w:r>
      <w:r>
        <w:t xml:space="preserve"> 2017</w:t>
      </w:r>
      <w:r>
        <w:rPr>
          <w:rFonts w:hint="eastAsia"/>
        </w:rPr>
        <w:t>届毕业生就业职位类别</w:t>
      </w:r>
    </w:p>
    <w:p>
      <w:pPr>
        <w:widowControl/>
        <w:jc w:val="left"/>
        <w:rPr>
          <w:rFonts w:ascii="宋体" w:hAnsi="宋体" w:eastAsia="宋体" w:cs="宋体"/>
          <w:kern w:val="0"/>
          <w:sz w:val="18"/>
          <w:szCs w:val="24"/>
        </w:rPr>
      </w:pPr>
      <w:r>
        <w:rPr>
          <w:rFonts w:ascii="宋体" w:hAnsi="宋体" w:eastAsia="宋体" w:cs="宋体"/>
          <w:kern w:val="0"/>
          <w:sz w:val="18"/>
          <w:szCs w:val="24"/>
        </w:rPr>
        <w:t>备注</w:t>
      </w:r>
      <w:r>
        <w:rPr>
          <w:rFonts w:hint="eastAsia" w:ascii="宋体" w:hAnsi="宋体" w:eastAsia="宋体" w:cs="宋体"/>
          <w:kern w:val="0"/>
          <w:sz w:val="18"/>
          <w:szCs w:val="24"/>
        </w:rPr>
        <w:t>：</w:t>
      </w:r>
      <w:r>
        <w:rPr>
          <w:rFonts w:ascii="宋体" w:hAnsi="宋体" w:eastAsia="宋体" w:cs="宋体"/>
          <w:kern w:val="0"/>
          <w:sz w:val="18"/>
          <w:szCs w:val="24"/>
        </w:rPr>
        <w:t>本部分仅针对协议就业</w:t>
      </w:r>
      <w:r>
        <w:rPr>
          <w:rFonts w:hint="eastAsia" w:ascii="宋体" w:hAnsi="宋体" w:eastAsia="宋体" w:cs="宋体"/>
          <w:kern w:val="0"/>
          <w:sz w:val="18"/>
          <w:szCs w:val="24"/>
        </w:rPr>
        <w:t>、</w:t>
      </w:r>
      <w:r>
        <w:rPr>
          <w:rFonts w:ascii="宋体" w:hAnsi="宋体" w:eastAsia="宋体" w:cs="宋体"/>
          <w:kern w:val="0"/>
          <w:sz w:val="18"/>
          <w:szCs w:val="24"/>
        </w:rPr>
        <w:t>灵活就业的3160</w:t>
      </w:r>
      <w:r>
        <w:rPr>
          <w:rFonts w:hint="eastAsia" w:ascii="宋体" w:hAnsi="宋体" w:eastAsia="宋体" w:cs="宋体"/>
          <w:kern w:val="0"/>
          <w:sz w:val="18"/>
          <w:szCs w:val="24"/>
        </w:rPr>
        <w:t>名毕业生进行分析。</w:t>
      </w:r>
    </w:p>
    <w:p>
      <w:pPr>
        <w:pStyle w:val="29"/>
        <w:spacing w:before="156" w:after="156"/>
      </w:pPr>
      <w:bookmarkStart w:id="24" w:name="_Toc503183019"/>
      <w:r>
        <w:rPr>
          <w:rFonts w:hint="eastAsia"/>
        </w:rPr>
        <w:t>（五）毕业生就业地域分析</w:t>
      </w:r>
      <w:bookmarkEnd w:id="24"/>
    </w:p>
    <w:p>
      <w:pPr>
        <w:pStyle w:val="21"/>
        <w:ind w:firstLine="480"/>
      </w:pPr>
      <w:r>
        <w:rPr>
          <w:rFonts w:hint="eastAsia"/>
        </w:rPr>
        <w:t>总体来看，2017届毕业生在省内就业要明显高于省外。其中在湖北省就业21</w:t>
      </w:r>
      <w:r>
        <w:t>27</w:t>
      </w:r>
      <w:r>
        <w:rPr>
          <w:rFonts w:hint="eastAsia"/>
        </w:rPr>
        <w:t>人，占比67.3</w:t>
      </w:r>
      <w:r>
        <w:t>1</w:t>
      </w:r>
      <w:r>
        <w:rPr>
          <w:rFonts w:hint="eastAsia"/>
        </w:rPr>
        <w:t>%；在省外就业10</w:t>
      </w:r>
      <w:r>
        <w:t>33</w:t>
      </w:r>
      <w:r>
        <w:rPr>
          <w:rFonts w:hint="eastAsia"/>
        </w:rPr>
        <w:t>人，占比32.6</w:t>
      </w:r>
      <w:r>
        <w:t>9</w:t>
      </w:r>
      <w:r>
        <w:rPr>
          <w:rFonts w:hint="eastAsia"/>
        </w:rPr>
        <w:t>%。</w:t>
      </w:r>
    </w:p>
    <w:p>
      <w:pPr>
        <w:pStyle w:val="21"/>
        <w:ind w:firstLine="480"/>
      </w:pPr>
      <w:r>
        <w:t>进一步细化省外就业地域可知</w:t>
      </w:r>
      <w:r>
        <w:rPr>
          <w:rFonts w:hint="eastAsia"/>
        </w:rPr>
        <w:t>，</w:t>
      </w:r>
      <w:r>
        <w:t>排名前三的分别是浙江省</w:t>
      </w:r>
      <w:r>
        <w:rPr>
          <w:rFonts w:hint="eastAsia"/>
        </w:rPr>
        <w:t>、</w:t>
      </w:r>
      <w:r>
        <w:t>广东省</w:t>
      </w:r>
      <w:r>
        <w:rPr>
          <w:rFonts w:hint="eastAsia"/>
        </w:rPr>
        <w:t>、</w:t>
      </w:r>
      <w:r>
        <w:t>西藏自治区</w:t>
      </w:r>
      <w:r>
        <w:rPr>
          <w:rFonts w:hint="eastAsia"/>
        </w:rPr>
        <w:t>，</w:t>
      </w:r>
      <w:r>
        <w:t>占比分别是</w:t>
      </w:r>
      <w:r>
        <w:rPr>
          <w:rFonts w:hint="eastAsia"/>
        </w:rPr>
        <w:t>6.</w:t>
      </w:r>
      <w:r>
        <w:t>5</w:t>
      </w:r>
      <w:r>
        <w:rPr>
          <w:rFonts w:hint="eastAsia"/>
        </w:rPr>
        <w:t>8%、5</w:t>
      </w:r>
      <w:r>
        <w:t>.63</w:t>
      </w:r>
      <w:r>
        <w:rPr>
          <w:rFonts w:hint="eastAsia"/>
        </w:rPr>
        <w:t>%、3</w:t>
      </w:r>
      <w:r>
        <w:t>.58</w:t>
      </w:r>
      <w:r>
        <w:rPr>
          <w:rFonts w:hint="eastAsia"/>
        </w:rPr>
        <w:t>%。</w:t>
      </w:r>
    </w:p>
    <w:p>
      <w:pPr>
        <w:pStyle w:val="23"/>
      </w:pPr>
      <w:r>
        <w:rPr>
          <w:rFonts w:hint="eastAsia"/>
        </w:rPr>
        <w:t>表1-</w:t>
      </w:r>
      <w:r>
        <w:fldChar w:fldCharType="begin"/>
      </w:r>
      <w:r>
        <w:rPr>
          <w:rFonts w:hint="eastAsia"/>
        </w:rPr>
        <w:instrText xml:space="preserve">SEQ 表1- \* ARABIC</w:instrText>
      </w:r>
      <w:r>
        <w:fldChar w:fldCharType="separate"/>
      </w:r>
      <w:r>
        <w:t>9</w:t>
      </w:r>
      <w:r>
        <w:fldChar w:fldCharType="end"/>
      </w:r>
      <w:r>
        <w:t xml:space="preserve"> 2017</w:t>
      </w:r>
      <w:r>
        <w:rPr>
          <w:rFonts w:hint="eastAsia"/>
        </w:rPr>
        <w:t>届</w:t>
      </w:r>
      <w:r>
        <w:t>毕业生就业地域分析</w:t>
      </w:r>
    </w:p>
    <w:p>
      <w:pPr>
        <w:pStyle w:val="23"/>
        <w:jc w:val="right"/>
      </w:pPr>
      <w:r>
        <w:rPr>
          <w:rFonts w:hint="eastAsia"/>
        </w:rPr>
        <w:t>单位</w:t>
      </w:r>
      <w:r>
        <w:t>：人数（</w:t>
      </w:r>
      <w:r>
        <w:rPr>
          <w:rFonts w:hint="eastAsia"/>
        </w:rPr>
        <w:t>人</w:t>
      </w:r>
      <w:r>
        <w:t>）</w:t>
      </w:r>
      <w:r>
        <w:rPr>
          <w:rFonts w:hint="eastAsia"/>
        </w:rPr>
        <w:t>、</w:t>
      </w:r>
      <w:r>
        <w:t>比例（</w:t>
      </w:r>
      <w:r>
        <w:rPr>
          <w:rFonts w:hint="eastAsia"/>
        </w:rPr>
        <w:t>%</w:t>
      </w:r>
      <w: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421"/>
        <w:gridCol w:w="1420"/>
        <w:gridCol w:w="1420"/>
        <w:gridCol w:w="1420"/>
        <w:gridCol w:w="1420"/>
        <w:gridCol w:w="1421"/>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类别</w:t>
            </w:r>
          </w:p>
        </w:tc>
        <w:tc>
          <w:tcPr>
            <w:tcW w:w="142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人数</w:t>
            </w:r>
          </w:p>
        </w:tc>
        <w:tc>
          <w:tcPr>
            <w:tcW w:w="142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占比</w:t>
            </w:r>
          </w:p>
        </w:tc>
        <w:tc>
          <w:tcPr>
            <w:tcW w:w="142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类别</w:t>
            </w:r>
          </w:p>
        </w:tc>
        <w:tc>
          <w:tcPr>
            <w:tcW w:w="142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人数</w:t>
            </w:r>
          </w:p>
        </w:tc>
        <w:tc>
          <w:tcPr>
            <w:tcW w:w="1421"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占比</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湖北</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2127</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67.31</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省外</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1033</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32.69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8522" w:type="dxa"/>
            <w:gridSpan w:val="6"/>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省外就业分布</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浙江</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208</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6.58</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云南</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0.63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广东</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178</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5.63</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海南</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0.54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42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西藏</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113</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3.58</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青海</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0.47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贵州</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108</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3.42</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湖南</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0.35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江苏</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58</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1.84</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甘肃</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0.32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重庆</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49</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1.55</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山东</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0.25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河南</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42</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1.33</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广西</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0.19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新疆</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41</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1.30</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陕西</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0.13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42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上海</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39</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1.23</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江西</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北京</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0.89</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天津</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四川</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26</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0.82</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河北</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福建</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25</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0.79</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山西</w:t>
            </w:r>
          </w:p>
        </w:tc>
        <w:tc>
          <w:tcPr>
            <w:tcW w:w="142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w:t>
            </w:r>
          </w:p>
        </w:tc>
        <w:tc>
          <w:tcPr>
            <w:tcW w:w="142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421"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安徽</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0.63</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省外合计</w:t>
            </w:r>
          </w:p>
        </w:tc>
        <w:tc>
          <w:tcPr>
            <w:tcW w:w="142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1033</w:t>
            </w:r>
          </w:p>
        </w:tc>
        <w:tc>
          <w:tcPr>
            <w:tcW w:w="142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32.69</w:t>
            </w:r>
          </w:p>
        </w:tc>
      </w:tr>
    </w:tbl>
    <w:p>
      <w:pPr>
        <w:widowControl/>
        <w:jc w:val="left"/>
        <w:rPr>
          <w:rFonts w:ascii="宋体" w:hAnsi="宋体" w:eastAsia="宋体" w:cs="宋体"/>
          <w:kern w:val="0"/>
          <w:sz w:val="18"/>
          <w:szCs w:val="24"/>
        </w:rPr>
      </w:pPr>
      <w:r>
        <w:rPr>
          <w:rFonts w:ascii="宋体" w:hAnsi="宋体" w:eastAsia="宋体" w:cs="宋体"/>
          <w:kern w:val="0"/>
          <w:sz w:val="18"/>
          <w:szCs w:val="24"/>
        </w:rPr>
        <w:t>备注</w:t>
      </w:r>
      <w:r>
        <w:rPr>
          <w:rFonts w:hint="eastAsia" w:ascii="宋体" w:hAnsi="宋体" w:eastAsia="宋体" w:cs="宋体"/>
          <w:kern w:val="0"/>
          <w:sz w:val="18"/>
          <w:szCs w:val="24"/>
        </w:rPr>
        <w:t>：</w:t>
      </w:r>
      <w:r>
        <w:rPr>
          <w:rFonts w:ascii="宋体" w:hAnsi="宋体" w:eastAsia="宋体" w:cs="宋体"/>
          <w:kern w:val="0"/>
          <w:sz w:val="18"/>
          <w:szCs w:val="24"/>
        </w:rPr>
        <w:t>本部分仅针对协议就业</w:t>
      </w:r>
      <w:r>
        <w:rPr>
          <w:rFonts w:hint="eastAsia" w:ascii="宋体" w:hAnsi="宋体" w:eastAsia="宋体" w:cs="宋体"/>
          <w:kern w:val="0"/>
          <w:sz w:val="18"/>
          <w:szCs w:val="24"/>
        </w:rPr>
        <w:t>、</w:t>
      </w:r>
      <w:r>
        <w:rPr>
          <w:rFonts w:ascii="宋体" w:hAnsi="宋体" w:eastAsia="宋体" w:cs="宋体"/>
          <w:kern w:val="0"/>
          <w:sz w:val="18"/>
          <w:szCs w:val="24"/>
        </w:rPr>
        <w:t>灵活就业的3160</w:t>
      </w:r>
      <w:r>
        <w:rPr>
          <w:rFonts w:hint="eastAsia" w:ascii="宋体" w:hAnsi="宋体" w:eastAsia="宋体" w:cs="宋体"/>
          <w:kern w:val="0"/>
          <w:sz w:val="18"/>
          <w:szCs w:val="24"/>
        </w:rPr>
        <w:t>名毕业生进行分析。</w:t>
      </w:r>
    </w:p>
    <w:p>
      <w:pPr>
        <w:widowControl/>
        <w:spacing w:before="120" w:after="120" w:line="360" w:lineRule="auto"/>
        <w:jc w:val="left"/>
        <w:outlineLvl w:val="1"/>
        <w:rPr>
          <w:rFonts w:ascii="宋体" w:hAnsi="宋体" w:eastAsia="宋体" w:cs="宋体"/>
          <w:b/>
          <w:kern w:val="0"/>
          <w:sz w:val="28"/>
          <w:szCs w:val="24"/>
        </w:rPr>
      </w:pPr>
      <w:bookmarkStart w:id="25" w:name="_Toc503183020"/>
      <w:r>
        <w:rPr>
          <w:rFonts w:hint="eastAsia" w:ascii="宋体" w:hAnsi="宋体" w:eastAsia="宋体" w:cs="宋体"/>
          <w:b/>
          <w:kern w:val="0"/>
          <w:sz w:val="28"/>
          <w:szCs w:val="24"/>
        </w:rPr>
        <w:t>四</w:t>
      </w:r>
      <w:r>
        <w:rPr>
          <w:rFonts w:ascii="宋体" w:hAnsi="宋体" w:eastAsia="宋体" w:cs="宋体"/>
          <w:b/>
          <w:kern w:val="0"/>
          <w:sz w:val="28"/>
          <w:szCs w:val="24"/>
        </w:rPr>
        <w:t>、</w:t>
      </w:r>
      <w:r>
        <w:rPr>
          <w:rFonts w:hint="eastAsia" w:ascii="宋体" w:hAnsi="宋体" w:eastAsia="宋体" w:cs="宋体"/>
          <w:b/>
          <w:kern w:val="0"/>
          <w:sz w:val="28"/>
          <w:szCs w:val="24"/>
        </w:rPr>
        <w:t>2017届毕业</w:t>
      </w:r>
      <w:r>
        <w:rPr>
          <w:rFonts w:ascii="宋体" w:hAnsi="宋体" w:eastAsia="宋体" w:cs="宋体"/>
          <w:b/>
          <w:kern w:val="0"/>
          <w:sz w:val="28"/>
          <w:szCs w:val="24"/>
        </w:rPr>
        <w:t>生</w:t>
      </w:r>
      <w:r>
        <w:rPr>
          <w:rFonts w:hint="eastAsia" w:ascii="宋体" w:hAnsi="宋体" w:eastAsia="宋体" w:cs="宋体"/>
          <w:b/>
          <w:kern w:val="0"/>
          <w:sz w:val="28"/>
          <w:szCs w:val="24"/>
        </w:rPr>
        <w:t>升学情况分析</w:t>
      </w:r>
      <w:bookmarkEnd w:id="25"/>
    </w:p>
    <w:p>
      <w:pPr>
        <w:pStyle w:val="29"/>
        <w:spacing w:before="156" w:after="156"/>
      </w:pPr>
      <w:bookmarkStart w:id="26" w:name="_Toc503183021"/>
      <w:bookmarkStart w:id="27" w:name="_Toc497917987"/>
      <w:r>
        <w:rPr>
          <w:rFonts w:hint="eastAsia"/>
        </w:rPr>
        <w:t>（一）分性别升学分布</w:t>
      </w:r>
      <w:bookmarkEnd w:id="26"/>
      <w:bookmarkEnd w:id="27"/>
    </w:p>
    <w:p>
      <w:pPr>
        <w:pStyle w:val="21"/>
        <w:ind w:firstLine="480"/>
      </w:pPr>
      <w:r>
        <w:t>总体来看</w:t>
      </w:r>
      <w:r>
        <w:rPr>
          <w:rFonts w:hint="eastAsia"/>
        </w:rPr>
        <w:t>，2017届毕业生共升学47人，升学率为1.40%。分性别来看，男性毕业生升学人数要低于女性，但升学率要高于女性。其中男性升学19人，升学率为1.58%；女性升学28人，升学率为1.29%。</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572000" cy="2743200"/>
            <wp:effectExtent l="0" t="0" r="0"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10</w:t>
      </w:r>
      <w:r>
        <w:rPr>
          <w:szCs w:val="18"/>
        </w:rPr>
        <w:fldChar w:fldCharType="end"/>
      </w:r>
      <w:r>
        <w:rPr>
          <w:szCs w:val="18"/>
        </w:rPr>
        <w:t xml:space="preserve"> 2017</w:t>
      </w:r>
      <w:r>
        <w:rPr>
          <w:rFonts w:hint="eastAsia"/>
          <w:szCs w:val="18"/>
        </w:rPr>
        <w:t>届毕业生</w:t>
      </w:r>
      <w:r>
        <w:rPr>
          <w:rFonts w:hint="eastAsia" w:hAnsi="宋体" w:cs="宋体"/>
          <w:kern w:val="0"/>
          <w:szCs w:val="18"/>
        </w:rPr>
        <w:t>分性别升学分布</w:t>
      </w:r>
    </w:p>
    <w:p>
      <w:pPr>
        <w:pStyle w:val="29"/>
        <w:spacing w:before="156" w:after="156"/>
      </w:pPr>
      <w:bookmarkStart w:id="28" w:name="_Toc503183022"/>
      <w:r>
        <w:rPr>
          <w:rFonts w:hint="eastAsia"/>
        </w:rPr>
        <w:t>（二）分二级学院和专业升学分布</w:t>
      </w:r>
      <w:bookmarkEnd w:id="28"/>
    </w:p>
    <w:p>
      <w:pPr>
        <w:pStyle w:val="21"/>
        <w:ind w:firstLine="480"/>
      </w:pPr>
      <w:r>
        <w:rPr>
          <w:rFonts w:hint="eastAsia"/>
        </w:rPr>
        <w:t>分二级</w:t>
      </w:r>
      <w:r>
        <w:t>学院来看</w:t>
      </w:r>
      <w:r>
        <w:rPr>
          <w:rFonts w:hint="eastAsia"/>
        </w:rPr>
        <w:t>，艺术与传媒学院除外，其余5个二级学院均有毕业生选择升学。其中医学院升学人数最多，有38人；其次是机械电子工程学院，有6人。</w:t>
      </w:r>
    </w:p>
    <w:p>
      <w:pPr>
        <w:pStyle w:val="21"/>
        <w:ind w:firstLine="480"/>
      </w:pPr>
      <w:r>
        <w:t>分专业来看</w:t>
      </w:r>
      <w:r>
        <w:rPr>
          <w:rFonts w:hint="eastAsia"/>
        </w:rPr>
        <w:t>，</w:t>
      </w:r>
      <w:r>
        <w:t>共有</w:t>
      </w:r>
      <w:r>
        <w:rPr>
          <w:rFonts w:hint="eastAsia"/>
        </w:rPr>
        <w:t>7个专业毕业生选择升学。其中临床医学专业升学人数最多，有27人；其次是康复治疗技术专业，有8人。</w:t>
      </w:r>
    </w:p>
    <w:p>
      <w:pPr>
        <w:pStyle w:val="23"/>
        <w:rPr>
          <w:rFonts w:hAnsi="宋体" w:cs="宋体"/>
          <w:kern w:val="0"/>
          <w:szCs w:val="18"/>
        </w:rPr>
      </w:pPr>
      <w:r>
        <w:rPr>
          <w:rFonts w:hint="eastAsia"/>
          <w:szCs w:val="18"/>
        </w:rPr>
        <w:t>表1-</w:t>
      </w:r>
      <w:r>
        <w:rPr>
          <w:szCs w:val="18"/>
        </w:rPr>
        <w:fldChar w:fldCharType="begin"/>
      </w:r>
      <w:r>
        <w:rPr>
          <w:rFonts w:hint="eastAsia"/>
          <w:szCs w:val="18"/>
        </w:rPr>
        <w:instrText xml:space="preserve">SEQ 表1- \* ARABIC</w:instrText>
      </w:r>
      <w:r>
        <w:rPr>
          <w:szCs w:val="18"/>
        </w:rPr>
        <w:fldChar w:fldCharType="separate"/>
      </w:r>
      <w:r>
        <w:rPr>
          <w:szCs w:val="18"/>
        </w:rPr>
        <w:t>10</w:t>
      </w:r>
      <w:r>
        <w:rPr>
          <w:szCs w:val="18"/>
        </w:rPr>
        <w:fldChar w:fldCharType="end"/>
      </w:r>
      <w:r>
        <w:rPr>
          <w:szCs w:val="18"/>
        </w:rPr>
        <w:t xml:space="preserve"> 2017</w:t>
      </w:r>
      <w:r>
        <w:rPr>
          <w:rFonts w:hint="eastAsia"/>
          <w:szCs w:val="18"/>
        </w:rPr>
        <w:t>届</w:t>
      </w:r>
      <w:r>
        <w:rPr>
          <w:szCs w:val="18"/>
        </w:rPr>
        <w:t>毕业生</w:t>
      </w:r>
      <w:r>
        <w:rPr>
          <w:rFonts w:hint="eastAsia" w:hAnsi="宋体" w:cs="宋体"/>
          <w:kern w:val="0"/>
          <w:szCs w:val="18"/>
        </w:rPr>
        <w:t>分学院和专业升学分布</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比例（</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887"/>
        <w:gridCol w:w="1846"/>
        <w:gridCol w:w="1846"/>
        <w:gridCol w:w="2943"/>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blHeader/>
        </w:trPr>
        <w:tc>
          <w:tcPr>
            <w:tcW w:w="1887"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学院</w:t>
            </w:r>
          </w:p>
        </w:tc>
        <w:tc>
          <w:tcPr>
            <w:tcW w:w="1846"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专业</w:t>
            </w:r>
          </w:p>
        </w:tc>
        <w:tc>
          <w:tcPr>
            <w:tcW w:w="1846"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人数</w:t>
            </w:r>
          </w:p>
        </w:tc>
        <w:tc>
          <w:tcPr>
            <w:tcW w:w="2943"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inorEastAsia" w:hAnsiTheme="minorEastAsia"/>
                <w:b/>
                <w:bCs/>
                <w:color w:val="FFFFFF" w:themeColor="background1"/>
                <w:kern w:val="0"/>
                <w:sz w:val="18"/>
                <w:szCs w:val="18"/>
              </w:rPr>
            </w:pPr>
            <w:r>
              <w:rPr>
                <w:rFonts w:hint="eastAsia" w:cs="宋体" w:asciiTheme="minorEastAsia" w:hAnsiTheme="minorEastAsia"/>
                <w:b/>
                <w:bCs/>
                <w:color w:val="FFFFFF" w:themeColor="background1"/>
                <w:kern w:val="0"/>
                <w:sz w:val="18"/>
                <w:szCs w:val="18"/>
              </w:rPr>
              <w:t>比例</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restart"/>
            <w:shd w:val="clear" w:color="auto" w:fill="DEEAF6" w:themeFill="accent1" w:themeFillTint="33"/>
            <w:vAlign w:val="center"/>
          </w:tcPr>
          <w:p>
            <w:pPr>
              <w:widowControl/>
              <w:jc w:val="center"/>
              <w:rPr>
                <w:rFonts w:cs="宋体" w:asciiTheme="minorEastAsia" w:hAnsiTheme="minorEastAsia"/>
                <w:b w:val="0"/>
                <w:bCs w:val="0"/>
                <w:color w:val="000000"/>
                <w:kern w:val="0"/>
                <w:sz w:val="18"/>
                <w:szCs w:val="18"/>
              </w:rPr>
            </w:pPr>
            <w:r>
              <w:rPr>
                <w:rFonts w:hint="eastAsia" w:cs="宋体" w:asciiTheme="minorEastAsia" w:hAnsiTheme="minorEastAsia"/>
                <w:b w:val="0"/>
                <w:bCs w:val="0"/>
                <w:color w:val="000000"/>
                <w:kern w:val="0"/>
                <w:sz w:val="18"/>
                <w:szCs w:val="18"/>
              </w:rPr>
              <w:t>医学院</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护理</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294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6.38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continue"/>
            <w:vAlign w:val="center"/>
          </w:tcPr>
          <w:p>
            <w:pPr>
              <w:widowControl/>
              <w:jc w:val="center"/>
              <w:rPr>
                <w:rFonts w:cs="宋体" w:asciiTheme="minorEastAsia" w:hAnsiTheme="minorEastAsia"/>
                <w:b w:val="0"/>
                <w:bCs w:val="0"/>
                <w:color w:val="000000"/>
                <w:kern w:val="0"/>
                <w:sz w:val="18"/>
                <w:szCs w:val="18"/>
              </w:rPr>
            </w:pPr>
          </w:p>
        </w:tc>
        <w:tc>
          <w:tcPr>
            <w:tcW w:w="1846"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康复治疗技术</w:t>
            </w:r>
          </w:p>
        </w:tc>
        <w:tc>
          <w:tcPr>
            <w:tcW w:w="1846"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8</w:t>
            </w:r>
          </w:p>
        </w:tc>
        <w:tc>
          <w:tcPr>
            <w:tcW w:w="294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17.02</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continue"/>
            <w:shd w:val="clear" w:color="auto" w:fill="DEEAF6" w:themeFill="accent1" w:themeFillTint="33"/>
            <w:vAlign w:val="center"/>
          </w:tcPr>
          <w:p>
            <w:pPr>
              <w:widowControl/>
              <w:jc w:val="center"/>
              <w:rPr>
                <w:rFonts w:cs="宋体" w:asciiTheme="minorEastAsia" w:hAnsiTheme="minorEastAsia"/>
                <w:b w:val="0"/>
                <w:bCs w:val="0"/>
                <w:color w:val="000000"/>
                <w:kern w:val="0"/>
                <w:sz w:val="18"/>
                <w:szCs w:val="18"/>
              </w:rPr>
            </w:pP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临床医学</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27</w:t>
            </w:r>
          </w:p>
        </w:tc>
        <w:tc>
          <w:tcPr>
            <w:tcW w:w="294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57.45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continue"/>
            <w:vAlign w:val="center"/>
          </w:tcPr>
          <w:p>
            <w:pPr>
              <w:widowControl/>
              <w:jc w:val="center"/>
              <w:rPr>
                <w:rFonts w:cs="宋体" w:asciiTheme="minorEastAsia" w:hAnsiTheme="minorEastAsia"/>
                <w:b w:val="0"/>
                <w:bCs w:val="0"/>
                <w:color w:val="000000"/>
                <w:kern w:val="0"/>
                <w:sz w:val="18"/>
                <w:szCs w:val="18"/>
              </w:rPr>
            </w:pPr>
          </w:p>
        </w:tc>
        <w:tc>
          <w:tcPr>
            <w:tcW w:w="1846" w:type="dxa"/>
            <w:vAlign w:val="center"/>
          </w:tcPr>
          <w:p>
            <w:pPr>
              <w:widowControl/>
              <w:jc w:val="center"/>
              <w:rPr>
                <w:rFonts w:cs="宋体" w:asciiTheme="minorEastAsia" w:hAnsiTheme="minorEastAsia"/>
                <w:b/>
                <w:color w:val="000000"/>
                <w:kern w:val="0"/>
                <w:sz w:val="18"/>
                <w:szCs w:val="18"/>
              </w:rPr>
            </w:pPr>
            <w:r>
              <w:rPr>
                <w:rFonts w:hint="eastAsia" w:cs="宋体" w:asciiTheme="minorEastAsia" w:hAnsiTheme="minorEastAsia"/>
                <w:b/>
                <w:color w:val="000000"/>
                <w:kern w:val="0"/>
                <w:sz w:val="18"/>
                <w:szCs w:val="18"/>
              </w:rPr>
              <w:t>合计</w:t>
            </w:r>
          </w:p>
        </w:tc>
        <w:tc>
          <w:tcPr>
            <w:tcW w:w="1846" w:type="dxa"/>
            <w:vAlign w:val="center"/>
          </w:tcPr>
          <w:p>
            <w:pPr>
              <w:widowControl/>
              <w:jc w:val="center"/>
              <w:rPr>
                <w:rFonts w:cs="宋体" w:asciiTheme="minorEastAsia" w:hAnsiTheme="minorEastAsia"/>
                <w:b/>
                <w:bCs/>
                <w:color w:val="000000"/>
                <w:kern w:val="0"/>
                <w:sz w:val="18"/>
                <w:szCs w:val="18"/>
              </w:rPr>
            </w:pPr>
            <w:r>
              <w:rPr>
                <w:rFonts w:hint="eastAsia" w:cs="宋体" w:asciiTheme="minorEastAsia" w:hAnsiTheme="minorEastAsia"/>
                <w:b/>
                <w:bCs/>
                <w:color w:val="000000"/>
                <w:kern w:val="0"/>
                <w:sz w:val="18"/>
                <w:szCs w:val="18"/>
              </w:rPr>
              <w:t>38</w:t>
            </w:r>
          </w:p>
        </w:tc>
        <w:tc>
          <w:tcPr>
            <w:tcW w:w="2943" w:type="dxa"/>
            <w:vAlign w:val="center"/>
          </w:tcPr>
          <w:p>
            <w:pPr>
              <w:widowControl/>
              <w:jc w:val="center"/>
              <w:rPr>
                <w:rFonts w:cs="宋体" w:asciiTheme="minorEastAsia" w:hAnsiTheme="minorEastAsia"/>
                <w:b/>
                <w:color w:val="000000"/>
                <w:kern w:val="0"/>
                <w:sz w:val="18"/>
                <w:szCs w:val="18"/>
              </w:rPr>
            </w:pPr>
            <w:r>
              <w:rPr>
                <w:rFonts w:hint="eastAsia" w:cs="宋体" w:asciiTheme="minorEastAsia" w:hAnsiTheme="minorEastAsia"/>
                <w:b/>
                <w:color w:val="000000"/>
                <w:kern w:val="0"/>
                <w:sz w:val="18"/>
                <w:szCs w:val="18"/>
              </w:rPr>
              <w:t>80.85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887" w:type="dxa"/>
            <w:vMerge w:val="restart"/>
            <w:shd w:val="clear" w:color="auto" w:fill="DEEAF6" w:themeFill="accent1" w:themeFillTint="33"/>
            <w:vAlign w:val="center"/>
          </w:tcPr>
          <w:p>
            <w:pPr>
              <w:widowControl/>
              <w:jc w:val="center"/>
              <w:rPr>
                <w:rFonts w:cs="宋体" w:asciiTheme="minorEastAsia" w:hAnsiTheme="minorEastAsia"/>
                <w:b w:val="0"/>
                <w:bCs w:val="0"/>
                <w:color w:val="000000"/>
                <w:kern w:val="0"/>
                <w:sz w:val="18"/>
                <w:szCs w:val="18"/>
              </w:rPr>
            </w:pPr>
            <w:r>
              <w:rPr>
                <w:rFonts w:hint="eastAsia" w:cs="宋体" w:asciiTheme="minorEastAsia" w:hAnsiTheme="minorEastAsia"/>
                <w:b w:val="0"/>
                <w:bCs w:val="0"/>
                <w:color w:val="000000"/>
                <w:kern w:val="0"/>
                <w:sz w:val="18"/>
                <w:szCs w:val="18"/>
              </w:rPr>
              <w:t>机械电子工程学院</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应用电子技术</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6</w:t>
            </w:r>
          </w:p>
        </w:tc>
        <w:tc>
          <w:tcPr>
            <w:tcW w:w="294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12.77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continue"/>
            <w:vAlign w:val="center"/>
          </w:tcPr>
          <w:p>
            <w:pPr>
              <w:widowControl/>
              <w:jc w:val="center"/>
              <w:rPr>
                <w:rFonts w:cs="宋体" w:asciiTheme="minorEastAsia" w:hAnsiTheme="minorEastAsia"/>
                <w:b w:val="0"/>
                <w:bCs w:val="0"/>
                <w:color w:val="000000"/>
                <w:kern w:val="0"/>
                <w:sz w:val="18"/>
                <w:szCs w:val="18"/>
              </w:rPr>
            </w:pPr>
          </w:p>
        </w:tc>
        <w:tc>
          <w:tcPr>
            <w:tcW w:w="1846"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合计</w:t>
            </w:r>
          </w:p>
        </w:tc>
        <w:tc>
          <w:tcPr>
            <w:tcW w:w="1846" w:type="dxa"/>
            <w:vAlign w:val="center"/>
          </w:tcPr>
          <w:p>
            <w:pPr>
              <w:widowControl/>
              <w:jc w:val="center"/>
              <w:rPr>
                <w:rFonts w:cs="宋体" w:asciiTheme="minorEastAsia" w:hAnsiTheme="minorEastAsia"/>
                <w:b/>
                <w:bCs/>
                <w:color w:val="000000"/>
                <w:kern w:val="0"/>
                <w:sz w:val="18"/>
                <w:szCs w:val="18"/>
              </w:rPr>
            </w:pPr>
            <w:r>
              <w:rPr>
                <w:rFonts w:hint="eastAsia" w:cs="宋体" w:asciiTheme="minorEastAsia" w:hAnsiTheme="minorEastAsia"/>
                <w:b/>
                <w:bCs/>
                <w:color w:val="000000"/>
                <w:kern w:val="0"/>
                <w:sz w:val="18"/>
                <w:szCs w:val="18"/>
              </w:rPr>
              <w:t>6</w:t>
            </w:r>
          </w:p>
        </w:tc>
        <w:tc>
          <w:tcPr>
            <w:tcW w:w="2943" w:type="dxa"/>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12.77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restart"/>
            <w:shd w:val="clear" w:color="auto" w:fill="DEEAF6" w:themeFill="accent1" w:themeFillTint="33"/>
            <w:vAlign w:val="center"/>
          </w:tcPr>
          <w:p>
            <w:pPr>
              <w:widowControl/>
              <w:jc w:val="center"/>
              <w:rPr>
                <w:rFonts w:cs="宋体" w:asciiTheme="minorEastAsia" w:hAnsiTheme="minorEastAsia"/>
                <w:b w:val="0"/>
                <w:bCs w:val="0"/>
                <w:color w:val="000000"/>
                <w:kern w:val="0"/>
                <w:sz w:val="18"/>
                <w:szCs w:val="18"/>
              </w:rPr>
            </w:pPr>
            <w:r>
              <w:rPr>
                <w:rFonts w:hint="eastAsia" w:cs="宋体" w:asciiTheme="minorEastAsia" w:hAnsiTheme="minorEastAsia"/>
                <w:b w:val="0"/>
                <w:bCs w:val="0"/>
                <w:color w:val="000000"/>
                <w:kern w:val="0"/>
                <w:sz w:val="18"/>
                <w:szCs w:val="18"/>
              </w:rPr>
              <w:t>计算机科学技术学院</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计算机网络技术</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294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2.13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continue"/>
            <w:vAlign w:val="center"/>
          </w:tcPr>
          <w:p>
            <w:pPr>
              <w:widowControl/>
              <w:jc w:val="center"/>
              <w:rPr>
                <w:rFonts w:cs="宋体" w:asciiTheme="minorEastAsia" w:hAnsiTheme="minorEastAsia"/>
                <w:b w:val="0"/>
                <w:bCs w:val="0"/>
                <w:color w:val="000000"/>
                <w:kern w:val="0"/>
                <w:sz w:val="18"/>
                <w:szCs w:val="18"/>
              </w:rPr>
            </w:pPr>
          </w:p>
        </w:tc>
        <w:tc>
          <w:tcPr>
            <w:tcW w:w="1846" w:type="dxa"/>
            <w:vAlign w:val="center"/>
          </w:tcPr>
          <w:p>
            <w:pPr>
              <w:widowControl/>
              <w:jc w:val="center"/>
              <w:rPr>
                <w:rFonts w:cs="宋体" w:asciiTheme="minorEastAsia" w:hAnsiTheme="minorEastAsia"/>
                <w:b/>
                <w:color w:val="000000"/>
                <w:kern w:val="0"/>
                <w:sz w:val="18"/>
                <w:szCs w:val="18"/>
              </w:rPr>
            </w:pPr>
            <w:r>
              <w:rPr>
                <w:rFonts w:hint="eastAsia" w:cs="宋体" w:asciiTheme="minorEastAsia" w:hAnsiTheme="minorEastAsia"/>
                <w:b/>
                <w:color w:val="000000"/>
                <w:kern w:val="0"/>
                <w:sz w:val="18"/>
                <w:szCs w:val="18"/>
              </w:rPr>
              <w:t>合计</w:t>
            </w:r>
          </w:p>
        </w:tc>
        <w:tc>
          <w:tcPr>
            <w:tcW w:w="1846" w:type="dxa"/>
            <w:vAlign w:val="center"/>
          </w:tcPr>
          <w:p>
            <w:pPr>
              <w:widowControl/>
              <w:jc w:val="center"/>
              <w:rPr>
                <w:rFonts w:cs="宋体" w:asciiTheme="minorEastAsia" w:hAnsiTheme="minorEastAsia"/>
                <w:b/>
                <w:bCs/>
                <w:color w:val="000000"/>
                <w:kern w:val="0"/>
                <w:sz w:val="18"/>
                <w:szCs w:val="18"/>
              </w:rPr>
            </w:pPr>
            <w:r>
              <w:rPr>
                <w:rFonts w:hint="eastAsia" w:cs="宋体" w:asciiTheme="minorEastAsia" w:hAnsiTheme="minorEastAsia"/>
                <w:b/>
                <w:bCs/>
                <w:color w:val="000000"/>
                <w:kern w:val="0"/>
                <w:sz w:val="18"/>
                <w:szCs w:val="18"/>
              </w:rPr>
              <w:t>1</w:t>
            </w:r>
          </w:p>
        </w:tc>
        <w:tc>
          <w:tcPr>
            <w:tcW w:w="2943" w:type="dxa"/>
            <w:vAlign w:val="center"/>
          </w:tcPr>
          <w:p>
            <w:pPr>
              <w:widowControl/>
              <w:jc w:val="center"/>
              <w:rPr>
                <w:rFonts w:cs="宋体" w:asciiTheme="minorEastAsia" w:hAnsiTheme="minorEastAsia"/>
                <w:b/>
                <w:color w:val="000000"/>
                <w:kern w:val="0"/>
                <w:sz w:val="18"/>
                <w:szCs w:val="18"/>
              </w:rPr>
            </w:pPr>
            <w:r>
              <w:rPr>
                <w:rFonts w:hint="eastAsia" w:cs="宋体" w:asciiTheme="minorEastAsia" w:hAnsiTheme="minorEastAsia"/>
                <w:b/>
                <w:color w:val="000000"/>
                <w:kern w:val="0"/>
                <w:sz w:val="18"/>
                <w:szCs w:val="18"/>
              </w:rPr>
              <w:t>2.13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restart"/>
            <w:shd w:val="clear" w:color="auto" w:fill="DEEAF6" w:themeFill="accent1" w:themeFillTint="33"/>
            <w:vAlign w:val="center"/>
          </w:tcPr>
          <w:p>
            <w:pPr>
              <w:widowControl/>
              <w:jc w:val="center"/>
              <w:rPr>
                <w:rFonts w:cs="宋体" w:asciiTheme="minorEastAsia" w:hAnsiTheme="minorEastAsia"/>
                <w:b w:val="0"/>
                <w:bCs w:val="0"/>
                <w:color w:val="000000"/>
                <w:kern w:val="0"/>
                <w:sz w:val="18"/>
                <w:szCs w:val="18"/>
              </w:rPr>
            </w:pPr>
            <w:r>
              <w:rPr>
                <w:rFonts w:hint="eastAsia" w:cs="宋体" w:asciiTheme="minorEastAsia" w:hAnsiTheme="minorEastAsia"/>
                <w:b w:val="0"/>
                <w:bCs w:val="0"/>
                <w:color w:val="000000"/>
                <w:kern w:val="0"/>
                <w:sz w:val="18"/>
                <w:szCs w:val="18"/>
              </w:rPr>
              <w:t>教育学院</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学前教育</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294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2.13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continue"/>
            <w:vAlign w:val="center"/>
          </w:tcPr>
          <w:p>
            <w:pPr>
              <w:widowControl/>
              <w:jc w:val="center"/>
              <w:rPr>
                <w:rFonts w:cs="宋体" w:asciiTheme="minorEastAsia" w:hAnsiTheme="minorEastAsia"/>
                <w:b w:val="0"/>
                <w:bCs w:val="0"/>
                <w:color w:val="000000"/>
                <w:kern w:val="0"/>
                <w:sz w:val="18"/>
                <w:szCs w:val="18"/>
              </w:rPr>
            </w:pPr>
          </w:p>
        </w:tc>
        <w:tc>
          <w:tcPr>
            <w:tcW w:w="1846" w:type="dxa"/>
            <w:vAlign w:val="center"/>
          </w:tcPr>
          <w:p>
            <w:pPr>
              <w:widowControl/>
              <w:jc w:val="center"/>
              <w:rPr>
                <w:rFonts w:cs="宋体" w:asciiTheme="minorEastAsia" w:hAnsiTheme="minorEastAsia"/>
                <w:b/>
                <w:color w:val="000000"/>
                <w:kern w:val="0"/>
                <w:sz w:val="18"/>
                <w:szCs w:val="18"/>
              </w:rPr>
            </w:pPr>
            <w:r>
              <w:rPr>
                <w:rFonts w:hint="eastAsia" w:cs="宋体" w:asciiTheme="minorEastAsia" w:hAnsiTheme="minorEastAsia"/>
                <w:b/>
                <w:color w:val="000000"/>
                <w:kern w:val="0"/>
                <w:sz w:val="18"/>
                <w:szCs w:val="18"/>
              </w:rPr>
              <w:t>合计</w:t>
            </w:r>
          </w:p>
        </w:tc>
        <w:tc>
          <w:tcPr>
            <w:tcW w:w="1846" w:type="dxa"/>
            <w:vAlign w:val="center"/>
          </w:tcPr>
          <w:p>
            <w:pPr>
              <w:widowControl/>
              <w:jc w:val="center"/>
              <w:rPr>
                <w:rFonts w:cs="宋体" w:asciiTheme="minorEastAsia" w:hAnsiTheme="minorEastAsia"/>
                <w:b/>
                <w:bCs/>
                <w:color w:val="000000"/>
                <w:kern w:val="0"/>
                <w:sz w:val="18"/>
                <w:szCs w:val="18"/>
              </w:rPr>
            </w:pPr>
            <w:r>
              <w:rPr>
                <w:rFonts w:hint="eastAsia" w:cs="宋体" w:asciiTheme="minorEastAsia" w:hAnsiTheme="minorEastAsia"/>
                <w:b/>
                <w:bCs/>
                <w:color w:val="000000"/>
                <w:kern w:val="0"/>
                <w:sz w:val="18"/>
                <w:szCs w:val="18"/>
              </w:rPr>
              <w:t>1</w:t>
            </w:r>
          </w:p>
        </w:tc>
        <w:tc>
          <w:tcPr>
            <w:tcW w:w="2943" w:type="dxa"/>
            <w:vAlign w:val="center"/>
          </w:tcPr>
          <w:p>
            <w:pPr>
              <w:widowControl/>
              <w:jc w:val="center"/>
              <w:rPr>
                <w:rFonts w:cs="宋体" w:asciiTheme="minorEastAsia" w:hAnsiTheme="minorEastAsia"/>
                <w:b/>
                <w:color w:val="000000"/>
                <w:kern w:val="0"/>
                <w:sz w:val="18"/>
                <w:szCs w:val="18"/>
              </w:rPr>
            </w:pPr>
            <w:r>
              <w:rPr>
                <w:rFonts w:hint="eastAsia" w:cs="宋体" w:asciiTheme="minorEastAsia" w:hAnsiTheme="minorEastAsia"/>
                <w:b/>
                <w:color w:val="000000"/>
                <w:kern w:val="0"/>
                <w:sz w:val="18"/>
                <w:szCs w:val="18"/>
              </w:rPr>
              <w:t>2.13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887" w:type="dxa"/>
            <w:vMerge w:val="restart"/>
            <w:shd w:val="clear" w:color="auto" w:fill="DEEAF6" w:themeFill="accent1" w:themeFillTint="33"/>
            <w:vAlign w:val="center"/>
          </w:tcPr>
          <w:p>
            <w:pPr>
              <w:widowControl/>
              <w:jc w:val="center"/>
              <w:rPr>
                <w:rFonts w:cs="宋体" w:asciiTheme="minorEastAsia" w:hAnsiTheme="minorEastAsia"/>
                <w:b w:val="0"/>
                <w:bCs w:val="0"/>
                <w:color w:val="000000"/>
                <w:kern w:val="0"/>
                <w:sz w:val="18"/>
                <w:szCs w:val="18"/>
              </w:rPr>
            </w:pPr>
            <w:r>
              <w:rPr>
                <w:rFonts w:hint="eastAsia" w:cs="宋体" w:asciiTheme="minorEastAsia" w:hAnsiTheme="minorEastAsia"/>
                <w:b w:val="0"/>
                <w:bCs w:val="0"/>
                <w:color w:val="000000"/>
                <w:kern w:val="0"/>
                <w:sz w:val="18"/>
                <w:szCs w:val="18"/>
              </w:rPr>
              <w:t>经济与管理学院</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建筑工程技术</w:t>
            </w:r>
          </w:p>
        </w:tc>
        <w:tc>
          <w:tcPr>
            <w:tcW w:w="1846"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2943" w:type="dxa"/>
            <w:shd w:val="clear" w:color="auto" w:fill="DEEAF6" w:themeFill="accent1" w:themeFillTint="33"/>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2.13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7" w:type="dxa"/>
            <w:vMerge w:val="continue"/>
            <w:vAlign w:val="center"/>
          </w:tcPr>
          <w:p>
            <w:pPr>
              <w:widowControl/>
              <w:jc w:val="center"/>
              <w:rPr>
                <w:rFonts w:cs="宋体" w:asciiTheme="minorEastAsia" w:hAnsiTheme="minorEastAsia"/>
                <w:b w:val="0"/>
                <w:bCs w:val="0"/>
                <w:color w:val="000000"/>
                <w:kern w:val="0"/>
                <w:sz w:val="18"/>
                <w:szCs w:val="18"/>
              </w:rPr>
            </w:pPr>
          </w:p>
        </w:tc>
        <w:tc>
          <w:tcPr>
            <w:tcW w:w="1846" w:type="dxa"/>
            <w:vAlign w:val="center"/>
          </w:tcPr>
          <w:p>
            <w:pPr>
              <w:widowControl/>
              <w:jc w:val="center"/>
              <w:rPr>
                <w:rFonts w:cs="宋体" w:asciiTheme="minorEastAsia" w:hAnsiTheme="minorEastAsia"/>
                <w:b/>
                <w:color w:val="000000"/>
                <w:kern w:val="0"/>
                <w:sz w:val="18"/>
                <w:szCs w:val="18"/>
              </w:rPr>
            </w:pPr>
            <w:r>
              <w:rPr>
                <w:rFonts w:hint="eastAsia" w:cs="宋体" w:asciiTheme="minorEastAsia" w:hAnsiTheme="minorEastAsia"/>
                <w:b/>
                <w:color w:val="000000"/>
                <w:kern w:val="0"/>
                <w:sz w:val="18"/>
                <w:szCs w:val="18"/>
              </w:rPr>
              <w:t>合计</w:t>
            </w:r>
          </w:p>
        </w:tc>
        <w:tc>
          <w:tcPr>
            <w:tcW w:w="1846" w:type="dxa"/>
            <w:vAlign w:val="center"/>
          </w:tcPr>
          <w:p>
            <w:pPr>
              <w:widowControl/>
              <w:jc w:val="center"/>
              <w:rPr>
                <w:rFonts w:cs="宋体" w:asciiTheme="minorEastAsia" w:hAnsiTheme="minorEastAsia"/>
                <w:b/>
                <w:bCs/>
                <w:color w:val="000000"/>
                <w:kern w:val="0"/>
                <w:sz w:val="18"/>
                <w:szCs w:val="18"/>
              </w:rPr>
            </w:pPr>
            <w:r>
              <w:rPr>
                <w:rFonts w:hint="eastAsia" w:cs="宋体" w:asciiTheme="minorEastAsia" w:hAnsiTheme="minorEastAsia"/>
                <w:b/>
                <w:bCs/>
                <w:color w:val="000000"/>
                <w:kern w:val="0"/>
                <w:sz w:val="18"/>
                <w:szCs w:val="18"/>
              </w:rPr>
              <w:t>1</w:t>
            </w:r>
          </w:p>
        </w:tc>
        <w:tc>
          <w:tcPr>
            <w:tcW w:w="2943" w:type="dxa"/>
            <w:vAlign w:val="center"/>
          </w:tcPr>
          <w:p>
            <w:pPr>
              <w:widowControl/>
              <w:jc w:val="center"/>
              <w:rPr>
                <w:rFonts w:cs="宋体" w:asciiTheme="minorEastAsia" w:hAnsiTheme="minorEastAsia"/>
                <w:b/>
                <w:color w:val="000000"/>
                <w:kern w:val="0"/>
                <w:sz w:val="18"/>
                <w:szCs w:val="18"/>
              </w:rPr>
            </w:pPr>
            <w:r>
              <w:rPr>
                <w:rFonts w:hint="eastAsia" w:cs="宋体" w:asciiTheme="minorEastAsia" w:hAnsiTheme="minorEastAsia"/>
                <w:b/>
                <w:color w:val="000000"/>
                <w:kern w:val="0"/>
                <w:sz w:val="18"/>
                <w:szCs w:val="18"/>
              </w:rPr>
              <w:t>2.13</w:t>
            </w:r>
          </w:p>
        </w:tc>
      </w:tr>
    </w:tbl>
    <w:p>
      <w:pPr>
        <w:pStyle w:val="29"/>
        <w:spacing w:before="156" w:after="156"/>
      </w:pPr>
      <w:bookmarkStart w:id="29" w:name="_Toc503183023"/>
      <w:r>
        <w:rPr>
          <w:rFonts w:hint="eastAsia"/>
        </w:rPr>
        <w:t>（三）升学学校分布</w:t>
      </w:r>
      <w:bookmarkEnd w:id="29"/>
    </w:p>
    <w:p>
      <w:pPr>
        <w:pStyle w:val="21"/>
        <w:ind w:firstLine="480"/>
      </w:pPr>
      <w:r>
        <w:rPr>
          <w:rFonts w:hint="eastAsia"/>
        </w:rPr>
        <w:t>2017届毕业生升学主要分布在以下11个学校，其中湖北科技学院升学人数最多，有15人；其次是武汉轻工大学，有10人；第三是江汉大学，有6人。</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572000" cy="2743200"/>
            <wp:effectExtent l="0" t="0" r="0"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pPr>
        <w:pStyle w:val="23"/>
        <w:rPr>
          <w:rFonts w:hAnsi="宋体" w:cs="宋体"/>
          <w:kern w:val="0"/>
          <w:szCs w:val="18"/>
        </w:rPr>
      </w:pPr>
      <w:r>
        <w:rPr>
          <w:rFonts w:hint="eastAsia"/>
          <w:szCs w:val="18"/>
        </w:rPr>
        <w:t>图1-</w:t>
      </w:r>
      <w:r>
        <w:rPr>
          <w:szCs w:val="18"/>
        </w:rPr>
        <w:fldChar w:fldCharType="begin"/>
      </w:r>
      <w:r>
        <w:rPr>
          <w:rFonts w:hint="eastAsia"/>
          <w:szCs w:val="18"/>
        </w:rPr>
        <w:instrText xml:space="preserve">SEQ 图1- \* ARABIC</w:instrText>
      </w:r>
      <w:r>
        <w:rPr>
          <w:szCs w:val="18"/>
        </w:rPr>
        <w:fldChar w:fldCharType="separate"/>
      </w:r>
      <w:r>
        <w:rPr>
          <w:szCs w:val="18"/>
        </w:rPr>
        <w:t>11</w:t>
      </w:r>
      <w:r>
        <w:rPr>
          <w:szCs w:val="18"/>
        </w:rPr>
        <w:fldChar w:fldCharType="end"/>
      </w:r>
      <w:r>
        <w:rPr>
          <w:szCs w:val="18"/>
        </w:rPr>
        <w:t xml:space="preserve"> 2017</w:t>
      </w:r>
      <w:r>
        <w:rPr>
          <w:rFonts w:hint="eastAsia"/>
          <w:szCs w:val="18"/>
        </w:rPr>
        <w:t>届</w:t>
      </w:r>
      <w:r>
        <w:rPr>
          <w:szCs w:val="18"/>
        </w:rPr>
        <w:t>毕业生</w:t>
      </w:r>
      <w:r>
        <w:rPr>
          <w:rFonts w:hAnsi="宋体" w:cs="宋体"/>
          <w:kern w:val="0"/>
          <w:szCs w:val="18"/>
        </w:rPr>
        <w:t>升学学校分布</w:t>
      </w:r>
    </w:p>
    <w:p>
      <w:pPr>
        <w:pStyle w:val="19"/>
        <w:spacing w:before="156" w:after="156"/>
      </w:pPr>
      <w:bookmarkStart w:id="30" w:name="_Toc503183024"/>
      <w:r>
        <w:rPr>
          <w:rFonts w:hint="eastAsia"/>
        </w:rPr>
        <w:t>五、2017届</w:t>
      </w:r>
      <w:r>
        <w:t>毕业生</w:t>
      </w:r>
      <w:r>
        <w:rPr>
          <w:rFonts w:hint="eastAsia"/>
        </w:rPr>
        <w:t>自主创业情况分布</w:t>
      </w:r>
      <w:bookmarkEnd w:id="30"/>
    </w:p>
    <w:p>
      <w:pPr>
        <w:pStyle w:val="21"/>
        <w:ind w:firstLine="480"/>
      </w:pPr>
      <w:r>
        <w:t>学</w:t>
      </w:r>
      <w:r>
        <w:rPr>
          <w:rFonts w:hint="eastAsia"/>
        </w:rPr>
        <w:t>院2017届毕业生共有</w:t>
      </w:r>
      <w:r>
        <w:t>8</w:t>
      </w:r>
      <w:r>
        <w:rPr>
          <w:rFonts w:hint="eastAsia"/>
        </w:rPr>
        <w:t>人选择自主创业，其中男性有7人，女性有1人；创业者主要来自计算机网络技术、临床医院专业；创业地域主要是学校所在地（仙桃市）；创业行业主要是信息传输、软件和信息技术服务业。</w:t>
      </w:r>
    </w:p>
    <w:p/>
    <w:p/>
    <w:p/>
    <w:p>
      <w:pPr>
        <w:pStyle w:val="23"/>
      </w:pPr>
      <w:r>
        <w:rPr>
          <w:rFonts w:hint="eastAsia"/>
        </w:rPr>
        <w:t>表1-</w:t>
      </w:r>
      <w:r>
        <w:fldChar w:fldCharType="begin"/>
      </w:r>
      <w:r>
        <w:rPr>
          <w:rFonts w:hint="eastAsia"/>
        </w:rPr>
        <w:instrText xml:space="preserve">SEQ 表1- \* ARABIC</w:instrText>
      </w:r>
      <w:r>
        <w:fldChar w:fldCharType="separate"/>
      </w:r>
      <w:r>
        <w:t>11</w:t>
      </w:r>
      <w:r>
        <w:fldChar w:fldCharType="end"/>
      </w:r>
      <w:r>
        <w:rPr>
          <w:rFonts w:hint="eastAsia"/>
        </w:rPr>
        <w:t>2017届毕业生自主创业情况分布</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647"/>
        <w:gridCol w:w="2234"/>
        <w:gridCol w:w="1646"/>
        <w:gridCol w:w="2995"/>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blHeader/>
        </w:trPr>
        <w:tc>
          <w:tcPr>
            <w:tcW w:w="1647"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性别</w:t>
            </w:r>
          </w:p>
        </w:tc>
        <w:tc>
          <w:tcPr>
            <w:tcW w:w="223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专业</w:t>
            </w:r>
          </w:p>
        </w:tc>
        <w:tc>
          <w:tcPr>
            <w:tcW w:w="1646"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创业地域</w:t>
            </w:r>
          </w:p>
        </w:tc>
        <w:tc>
          <w:tcPr>
            <w:tcW w:w="2995"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创业行业</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647" w:type="dxa"/>
            <w:shd w:val="clear" w:color="auto" w:fill="DEEAF6" w:themeFill="accent1" w:themeFillTint="33"/>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男</w:t>
            </w:r>
          </w:p>
        </w:tc>
        <w:tc>
          <w:tcPr>
            <w:tcW w:w="2234" w:type="dxa"/>
            <w:vMerge w:val="restart"/>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计算机网络技术</w:t>
            </w:r>
          </w:p>
        </w:tc>
        <w:tc>
          <w:tcPr>
            <w:tcW w:w="1646"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仙桃市</w:t>
            </w:r>
          </w:p>
        </w:tc>
        <w:tc>
          <w:tcPr>
            <w:tcW w:w="2995"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信息传输、软件和信息技术服务业</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647"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男</w:t>
            </w:r>
          </w:p>
        </w:tc>
        <w:tc>
          <w:tcPr>
            <w:tcW w:w="2234" w:type="dxa"/>
            <w:vMerge w:val="continue"/>
            <w:vAlign w:val="center"/>
          </w:tcPr>
          <w:p>
            <w:pPr>
              <w:widowControl/>
              <w:jc w:val="center"/>
              <w:rPr>
                <w:rFonts w:ascii="宋体" w:hAnsi="宋体" w:eastAsia="宋体" w:cs="宋体"/>
                <w:color w:val="000000"/>
                <w:kern w:val="0"/>
                <w:sz w:val="18"/>
              </w:rPr>
            </w:pPr>
          </w:p>
        </w:tc>
        <w:tc>
          <w:tcPr>
            <w:tcW w:w="1646"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武汉市</w:t>
            </w:r>
          </w:p>
        </w:tc>
        <w:tc>
          <w:tcPr>
            <w:tcW w:w="2995"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房地产业</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647" w:type="dxa"/>
            <w:shd w:val="clear" w:color="auto" w:fill="DEEAF6" w:themeFill="accent1" w:themeFillTint="33"/>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男</w:t>
            </w:r>
          </w:p>
        </w:tc>
        <w:tc>
          <w:tcPr>
            <w:tcW w:w="2234" w:type="dxa"/>
            <w:vMerge w:val="restart"/>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临床医学</w:t>
            </w:r>
          </w:p>
        </w:tc>
        <w:tc>
          <w:tcPr>
            <w:tcW w:w="1646"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仙桃市</w:t>
            </w:r>
          </w:p>
        </w:tc>
        <w:tc>
          <w:tcPr>
            <w:tcW w:w="2995"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信息传输、软件和信息技术服务业</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647"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男</w:t>
            </w:r>
          </w:p>
        </w:tc>
        <w:tc>
          <w:tcPr>
            <w:tcW w:w="2234" w:type="dxa"/>
            <w:vMerge w:val="continue"/>
            <w:vAlign w:val="center"/>
          </w:tcPr>
          <w:p>
            <w:pPr>
              <w:widowControl/>
              <w:jc w:val="center"/>
              <w:rPr>
                <w:rFonts w:ascii="宋体" w:hAnsi="宋体" w:eastAsia="宋体" w:cs="宋体"/>
                <w:color w:val="000000"/>
                <w:kern w:val="0"/>
                <w:sz w:val="18"/>
              </w:rPr>
            </w:pPr>
          </w:p>
        </w:tc>
        <w:tc>
          <w:tcPr>
            <w:tcW w:w="1646"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仙桃市</w:t>
            </w:r>
          </w:p>
        </w:tc>
        <w:tc>
          <w:tcPr>
            <w:tcW w:w="2995"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信息传输、软件和信息技术服务业</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647" w:type="dxa"/>
            <w:shd w:val="clear" w:color="auto" w:fill="DEEAF6" w:themeFill="accent1" w:themeFillTint="33"/>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男</w:t>
            </w:r>
          </w:p>
        </w:tc>
        <w:tc>
          <w:tcPr>
            <w:tcW w:w="2234"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楼宇智能化工程技术</w:t>
            </w:r>
          </w:p>
        </w:tc>
        <w:tc>
          <w:tcPr>
            <w:tcW w:w="1646"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仙桃市</w:t>
            </w:r>
          </w:p>
        </w:tc>
        <w:tc>
          <w:tcPr>
            <w:tcW w:w="2995"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信息传输、软件和信息技术服务业</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647"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男</w:t>
            </w:r>
          </w:p>
        </w:tc>
        <w:tc>
          <w:tcPr>
            <w:tcW w:w="2234"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汽车检测与维修技术</w:t>
            </w:r>
          </w:p>
        </w:tc>
        <w:tc>
          <w:tcPr>
            <w:tcW w:w="1646"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仙桃市</w:t>
            </w:r>
          </w:p>
        </w:tc>
        <w:tc>
          <w:tcPr>
            <w:tcW w:w="2995"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居民服务、修理和其他服务业</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647" w:type="dxa"/>
            <w:shd w:val="clear" w:color="auto" w:fill="DEEAF6" w:themeFill="accent1" w:themeFillTint="33"/>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男</w:t>
            </w:r>
          </w:p>
        </w:tc>
        <w:tc>
          <w:tcPr>
            <w:tcW w:w="2234"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应用电子技术</w:t>
            </w:r>
          </w:p>
        </w:tc>
        <w:tc>
          <w:tcPr>
            <w:tcW w:w="1646"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黄冈市</w:t>
            </w:r>
          </w:p>
        </w:tc>
        <w:tc>
          <w:tcPr>
            <w:tcW w:w="2995"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信息传输、软件和信息技术服务业</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647"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女</w:t>
            </w:r>
          </w:p>
        </w:tc>
        <w:tc>
          <w:tcPr>
            <w:tcW w:w="2234"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医药营销</w:t>
            </w:r>
          </w:p>
        </w:tc>
        <w:tc>
          <w:tcPr>
            <w:tcW w:w="1646"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仙桃市</w:t>
            </w:r>
          </w:p>
        </w:tc>
        <w:tc>
          <w:tcPr>
            <w:tcW w:w="2995"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居民服务、修理和其他服务业</w:t>
            </w:r>
          </w:p>
        </w:tc>
      </w:tr>
    </w:tbl>
    <w:p>
      <w:pPr>
        <w:widowControl/>
        <w:jc w:val="left"/>
        <w:rPr>
          <w:rFonts w:ascii="宋体" w:hAnsi="宋体" w:eastAsia="宋体" w:cs="宋体"/>
          <w:kern w:val="0"/>
          <w:sz w:val="24"/>
          <w:szCs w:val="24"/>
        </w:rPr>
      </w:pPr>
    </w:p>
    <w:p>
      <w:pPr>
        <w:pStyle w:val="21"/>
        <w:ind w:firstLine="480"/>
      </w:pPr>
    </w:p>
    <w:p>
      <w:pPr>
        <w:pStyle w:val="27"/>
        <w:spacing w:before="156" w:after="156"/>
      </w:pPr>
      <w:bookmarkStart w:id="31" w:name="_Toc503183025"/>
      <w:r>
        <w:rPr>
          <w:rFonts w:hint="eastAsia"/>
        </w:rPr>
        <w:t>第二章</w:t>
      </w:r>
      <w:r>
        <w:t>2015-2017</w:t>
      </w:r>
      <w:r>
        <w:rPr>
          <w:rFonts w:hint="eastAsia"/>
        </w:rPr>
        <w:t>届毕业生就业趋势分析</w:t>
      </w:r>
      <w:bookmarkEnd w:id="31"/>
    </w:p>
    <w:p>
      <w:pPr>
        <w:pStyle w:val="19"/>
        <w:spacing w:before="156" w:after="156"/>
      </w:pPr>
      <w:bookmarkStart w:id="32" w:name="_Toc503183026"/>
      <w:r>
        <w:rPr>
          <w:rFonts w:hint="eastAsia"/>
        </w:rPr>
        <w:t>一</w:t>
      </w:r>
      <w:r>
        <w:t>、</w:t>
      </w:r>
      <w:r>
        <w:rPr>
          <w:rFonts w:hint="eastAsia"/>
        </w:rPr>
        <w:t>2015-2017届毕业生规模变化</w:t>
      </w:r>
      <w:r>
        <w:t>趋势</w:t>
      </w:r>
      <w:bookmarkEnd w:id="32"/>
    </w:p>
    <w:p>
      <w:pPr>
        <w:pStyle w:val="21"/>
        <w:ind w:firstLine="480"/>
      </w:pPr>
      <w:r>
        <w:t>总体来看</w:t>
      </w:r>
      <w:r>
        <w:rPr>
          <w:rFonts w:hint="eastAsia"/>
        </w:rPr>
        <w:t>，学院2015-</w:t>
      </w:r>
      <w:r>
        <w:t>2017届毕业生规模呈逐年上升趋势</w:t>
      </w:r>
      <w:r>
        <w:rPr>
          <w:rFonts w:hint="eastAsia"/>
        </w:rPr>
        <w:t>，由2015届的2405人增长到2017届的3369人，规模增长率为</w:t>
      </w:r>
      <w:r>
        <w:t>40.08%</w:t>
      </w:r>
      <w:r>
        <w:rPr>
          <w:rFonts w:hint="eastAsia"/>
        </w:rPr>
        <w:t>。分性别来看，男女毕业生规模与总体趋势一致，均呈逐年上升趋势，并且女性毕业生人数每年均高于男性。</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pPr>
        <w:pStyle w:val="23"/>
        <w:rPr>
          <w:rFonts w:hAnsi="宋体" w:cs="宋体"/>
          <w:kern w:val="0"/>
          <w:szCs w:val="18"/>
        </w:rPr>
      </w:pPr>
      <w:r>
        <w:rPr>
          <w:rFonts w:hint="eastAsia"/>
          <w:szCs w:val="18"/>
        </w:rPr>
        <w:t>图2-</w:t>
      </w:r>
      <w:r>
        <w:rPr>
          <w:szCs w:val="18"/>
        </w:rPr>
        <w:fldChar w:fldCharType="begin"/>
      </w:r>
      <w:r>
        <w:rPr>
          <w:rFonts w:hint="eastAsia"/>
          <w:szCs w:val="18"/>
        </w:rPr>
        <w:instrText xml:space="preserve">SEQ 图2- \* ARABIC</w:instrText>
      </w:r>
      <w:r>
        <w:rPr>
          <w:szCs w:val="18"/>
        </w:rPr>
        <w:fldChar w:fldCharType="separate"/>
      </w:r>
      <w:r>
        <w:rPr>
          <w:szCs w:val="18"/>
        </w:rPr>
        <w:t>1</w:t>
      </w:r>
      <w:r>
        <w:rPr>
          <w:szCs w:val="18"/>
        </w:rPr>
        <w:fldChar w:fldCharType="end"/>
      </w:r>
      <w:r>
        <w:rPr>
          <w:rFonts w:hint="eastAsia" w:hAnsi="宋体" w:cs="宋体"/>
          <w:kern w:val="0"/>
          <w:szCs w:val="18"/>
        </w:rPr>
        <w:t>2015-2017届毕业生规模变化</w:t>
      </w:r>
      <w:r>
        <w:rPr>
          <w:rFonts w:hAnsi="宋体" w:cs="宋体"/>
          <w:kern w:val="0"/>
          <w:szCs w:val="18"/>
        </w:rPr>
        <w:t>趋势</w:t>
      </w:r>
    </w:p>
    <w:p>
      <w:pPr>
        <w:widowControl/>
        <w:spacing w:before="120" w:after="120" w:line="360" w:lineRule="auto"/>
        <w:jc w:val="left"/>
        <w:outlineLvl w:val="1"/>
        <w:rPr>
          <w:rFonts w:ascii="宋体" w:hAnsi="宋体" w:eastAsia="宋体" w:cs="宋体"/>
          <w:b/>
          <w:kern w:val="0"/>
          <w:sz w:val="28"/>
          <w:szCs w:val="24"/>
        </w:rPr>
      </w:pPr>
      <w:bookmarkStart w:id="33" w:name="_Toc503183027"/>
      <w:r>
        <w:rPr>
          <w:rFonts w:hint="eastAsia" w:ascii="宋体" w:hAnsi="宋体" w:eastAsia="宋体" w:cs="宋体"/>
          <w:b/>
          <w:kern w:val="0"/>
          <w:sz w:val="28"/>
          <w:szCs w:val="24"/>
        </w:rPr>
        <w:t>二</w:t>
      </w:r>
      <w:r>
        <w:rPr>
          <w:rFonts w:ascii="宋体" w:hAnsi="宋体" w:eastAsia="宋体" w:cs="宋体"/>
          <w:b/>
          <w:kern w:val="0"/>
          <w:sz w:val="28"/>
          <w:szCs w:val="24"/>
        </w:rPr>
        <w:t>、</w:t>
      </w:r>
      <w:r>
        <w:rPr>
          <w:rFonts w:hint="eastAsia" w:ascii="宋体" w:hAnsi="宋体" w:eastAsia="宋体" w:cs="宋体"/>
          <w:b/>
          <w:kern w:val="0"/>
          <w:sz w:val="28"/>
          <w:szCs w:val="24"/>
        </w:rPr>
        <w:t>2015-2017届毕业生就业率变化</w:t>
      </w:r>
      <w:r>
        <w:rPr>
          <w:rFonts w:ascii="宋体" w:hAnsi="宋体" w:eastAsia="宋体" w:cs="宋体"/>
          <w:b/>
          <w:kern w:val="0"/>
          <w:sz w:val="28"/>
          <w:szCs w:val="24"/>
        </w:rPr>
        <w:t>趋势</w:t>
      </w:r>
      <w:bookmarkEnd w:id="33"/>
    </w:p>
    <w:p>
      <w:pPr>
        <w:pStyle w:val="21"/>
        <w:ind w:firstLine="480"/>
      </w:pPr>
      <w:r>
        <w:rPr>
          <w:rFonts w:hint="eastAsia"/>
        </w:rPr>
        <w:t>总体来看，学院2015-</w:t>
      </w:r>
      <w:r>
        <w:t>2017届毕业生就业率均保持在</w:t>
      </w:r>
      <w:r>
        <w:rPr>
          <w:rFonts w:hint="eastAsia"/>
        </w:rPr>
        <w:t>93.00%以上，其中2017届就业率最高，高达</w:t>
      </w:r>
      <w:r>
        <w:t>95.46</w:t>
      </w:r>
      <w:r>
        <w:rPr>
          <w:rFonts w:hint="eastAsia"/>
        </w:rPr>
        <w:t>%。分性别来看，男女毕业生连续</w:t>
      </w:r>
      <w:r>
        <w:t>三届</w:t>
      </w:r>
      <w:r>
        <w:rPr>
          <w:rFonts w:hint="eastAsia"/>
        </w:rPr>
        <w:t>就业率保持在91.00%以上。</w:t>
      </w:r>
    </w:p>
    <w:p>
      <w:pPr>
        <w:widowControl/>
        <w:jc w:val="center"/>
        <w:rPr>
          <w:rFonts w:ascii="宋体" w:hAnsi="宋体" w:eastAsia="宋体" w:cs="宋体"/>
          <w:kern w:val="0"/>
          <w:sz w:val="24"/>
          <w:szCs w:val="24"/>
        </w:rPr>
      </w:pPr>
      <w:r>
        <w:drawing>
          <wp:inline distT="0" distB="0" distL="0" distR="0">
            <wp:extent cx="4572000" cy="2743200"/>
            <wp:effectExtent l="0" t="0" r="0" b="0"/>
            <wp:docPr id="221" name="图表 2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pPr>
        <w:pStyle w:val="23"/>
        <w:rPr>
          <w:rFonts w:hAnsi="宋体" w:cs="宋体"/>
          <w:kern w:val="0"/>
          <w:szCs w:val="18"/>
        </w:rPr>
      </w:pPr>
      <w:r>
        <w:rPr>
          <w:rFonts w:hint="eastAsia"/>
          <w:szCs w:val="18"/>
        </w:rPr>
        <w:t>图2-</w:t>
      </w:r>
      <w:r>
        <w:rPr>
          <w:szCs w:val="18"/>
        </w:rPr>
        <w:fldChar w:fldCharType="begin"/>
      </w:r>
      <w:r>
        <w:rPr>
          <w:rFonts w:hint="eastAsia"/>
          <w:szCs w:val="18"/>
        </w:rPr>
        <w:instrText xml:space="preserve">SEQ 图2- \* ARABIC</w:instrText>
      </w:r>
      <w:r>
        <w:rPr>
          <w:szCs w:val="18"/>
        </w:rPr>
        <w:fldChar w:fldCharType="separate"/>
      </w:r>
      <w:r>
        <w:rPr>
          <w:szCs w:val="18"/>
        </w:rPr>
        <w:t>2</w:t>
      </w:r>
      <w:r>
        <w:rPr>
          <w:szCs w:val="18"/>
        </w:rPr>
        <w:fldChar w:fldCharType="end"/>
      </w:r>
      <w:r>
        <w:rPr>
          <w:rFonts w:hAnsi="宋体" w:cs="宋体"/>
          <w:kern w:val="0"/>
          <w:szCs w:val="18"/>
        </w:rPr>
        <w:t>2015-2017届毕业生就业率变化趋势</w:t>
      </w:r>
    </w:p>
    <w:p>
      <w:pPr>
        <w:pStyle w:val="19"/>
        <w:spacing w:before="156" w:after="156"/>
      </w:pPr>
      <w:bookmarkStart w:id="34" w:name="_Toc503183028"/>
      <w:r>
        <w:rPr>
          <w:rFonts w:hint="eastAsia"/>
        </w:rPr>
        <w:t>三</w:t>
      </w:r>
      <w:r>
        <w:t>、</w:t>
      </w:r>
      <w:r>
        <w:rPr>
          <w:rFonts w:hint="eastAsia"/>
        </w:rPr>
        <w:t>2015-2017届各</w:t>
      </w:r>
      <w:r>
        <w:t>学院</w:t>
      </w:r>
      <w:r>
        <w:rPr>
          <w:rFonts w:hint="eastAsia"/>
        </w:rPr>
        <w:t>毕业生规模与就业率变化</w:t>
      </w:r>
      <w:r>
        <w:t>趋势</w:t>
      </w:r>
      <w:bookmarkEnd w:id="34"/>
    </w:p>
    <w:p>
      <w:pPr>
        <w:pStyle w:val="21"/>
        <w:ind w:firstLine="480"/>
      </w:pPr>
      <w:r>
        <w:rPr>
          <w:rFonts w:hint="eastAsia"/>
        </w:rPr>
        <w:t>从二级学院毕业生规模来看，机械电子工程学院、学前教育学院、医学院呈逐年上升趋势。其中医学院连续三年稳居首位，规模增长率为</w:t>
      </w:r>
      <w:r>
        <w:t>51.45%</w:t>
      </w:r>
      <w:r>
        <w:rPr>
          <w:rFonts w:hint="eastAsia"/>
        </w:rPr>
        <w:t>。</w:t>
      </w:r>
      <w:r>
        <w:t>从就业率来看</w:t>
      </w:r>
      <w:r>
        <w:rPr>
          <w:rFonts w:hint="eastAsia"/>
        </w:rPr>
        <w:t>，艺术与传媒学院</w:t>
      </w:r>
      <w:r>
        <w:rPr>
          <w:rFonts w:hint="eastAsia"/>
          <w:lang w:val="en-US" w:eastAsia="zh-CN"/>
        </w:rPr>
        <w:t>2015届为89.06%</w:t>
      </w:r>
      <w:r>
        <w:rPr>
          <w:rFonts w:hint="eastAsia"/>
        </w:rPr>
        <w:t>，其余5个二级学院三年就业率均在90.00%以上。</w:t>
      </w:r>
    </w:p>
    <w:p>
      <w:pPr>
        <w:pStyle w:val="23"/>
        <w:rPr>
          <w:rFonts w:hAnsi="宋体" w:cs="宋体"/>
          <w:kern w:val="0"/>
          <w:szCs w:val="18"/>
        </w:rPr>
      </w:pPr>
      <w:r>
        <w:rPr>
          <w:rFonts w:hint="eastAsia"/>
          <w:szCs w:val="18"/>
        </w:rPr>
        <w:t>表2-</w:t>
      </w:r>
      <w:r>
        <w:rPr>
          <w:szCs w:val="18"/>
        </w:rPr>
        <w:fldChar w:fldCharType="begin"/>
      </w:r>
      <w:r>
        <w:rPr>
          <w:rFonts w:hint="eastAsia"/>
          <w:szCs w:val="18"/>
        </w:rPr>
        <w:instrText xml:space="preserve">SEQ 表2- \* ARABIC</w:instrText>
      </w:r>
      <w:r>
        <w:rPr>
          <w:szCs w:val="18"/>
        </w:rPr>
        <w:fldChar w:fldCharType="separate"/>
      </w:r>
      <w:r>
        <w:rPr>
          <w:szCs w:val="18"/>
        </w:rPr>
        <w:t>1</w:t>
      </w:r>
      <w:r>
        <w:rPr>
          <w:szCs w:val="18"/>
        </w:rPr>
        <w:fldChar w:fldCharType="end"/>
      </w:r>
      <w:r>
        <w:rPr>
          <w:rFonts w:hAnsi="宋体" w:cs="宋体"/>
          <w:kern w:val="0"/>
          <w:szCs w:val="18"/>
        </w:rPr>
        <w:t>2015-2017届各学院毕业生规模与就业率变化趋势</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就业率（</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2256"/>
        <w:gridCol w:w="1379"/>
        <w:gridCol w:w="876"/>
        <w:gridCol w:w="956"/>
        <w:gridCol w:w="1144"/>
        <w:gridCol w:w="900"/>
        <w:gridCol w:w="1011"/>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6" w:type="dxa"/>
            <w:vMerge w:val="restart"/>
            <w:tcBorders>
              <w:top w:val="single" w:color="5B9BD5" w:themeColor="accent1" w:sz="4" w:space="0"/>
              <w:left w:val="single" w:color="5B9BD5" w:themeColor="accent1" w:sz="4" w:space="0"/>
              <w:bottom w:val="single" w:color="FFFFFF" w:themeColor="background1" w:sz="4" w:space="0"/>
              <w:right w:val="nil"/>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学院</w:t>
            </w:r>
          </w:p>
        </w:tc>
        <w:tc>
          <w:tcPr>
            <w:tcW w:w="3211" w:type="dxa"/>
            <w:gridSpan w:val="3"/>
            <w:tcBorders>
              <w:top w:val="single" w:color="5B9BD5" w:themeColor="accent1" w:sz="4" w:space="0"/>
              <w:left w:val="single" w:color="FFFFFF" w:themeColor="background1" w:sz="4" w:space="0"/>
              <w:bottom w:val="single" w:color="FFFFFF" w:themeColor="background1" w:sz="4" w:space="0"/>
              <w:right w:val="nil"/>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人数</w:t>
            </w:r>
          </w:p>
        </w:tc>
        <w:tc>
          <w:tcPr>
            <w:tcW w:w="3055" w:type="dxa"/>
            <w:gridSpan w:val="3"/>
            <w:tcBorders>
              <w:top w:val="single" w:color="5B9BD5" w:themeColor="accent1" w:sz="4" w:space="0"/>
              <w:left w:val="single" w:color="FFFFFF" w:themeColor="background1" w:sz="4" w:space="0"/>
              <w:bottom w:val="single" w:color="FFFFFF" w:themeColor="background1" w:sz="4" w:space="0"/>
              <w:right w:val="single" w:color="5B9BD5" w:themeColor="accent1"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就业率</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6" w:type="dxa"/>
            <w:vMerge w:val="continue"/>
            <w:tcBorders>
              <w:top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p>
        </w:tc>
        <w:tc>
          <w:tcPr>
            <w:tcW w:w="1379"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2015届</w:t>
            </w:r>
          </w:p>
        </w:tc>
        <w:tc>
          <w:tcPr>
            <w:tcW w:w="876"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2016届</w:t>
            </w:r>
          </w:p>
        </w:tc>
        <w:tc>
          <w:tcPr>
            <w:tcW w:w="956"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2017届</w:t>
            </w:r>
          </w:p>
        </w:tc>
        <w:tc>
          <w:tcPr>
            <w:tcW w:w="1144"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2015届</w:t>
            </w:r>
          </w:p>
        </w:tc>
        <w:tc>
          <w:tcPr>
            <w:tcW w:w="900"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2016届</w:t>
            </w:r>
          </w:p>
        </w:tc>
        <w:tc>
          <w:tcPr>
            <w:tcW w:w="1011" w:type="dxa"/>
            <w:tcBorders>
              <w:top w:val="single" w:color="FFFFFF" w:themeColor="background1" w:sz="4" w:space="0"/>
              <w:lef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2017届</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6"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机械电子工程学院</w:t>
            </w:r>
          </w:p>
        </w:tc>
        <w:tc>
          <w:tcPr>
            <w:tcW w:w="137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261</w:t>
            </w:r>
          </w:p>
        </w:tc>
        <w:tc>
          <w:tcPr>
            <w:tcW w:w="87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322</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391</w:t>
            </w:r>
          </w:p>
        </w:tc>
        <w:tc>
          <w:tcPr>
            <w:tcW w:w="114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96.93</w:t>
            </w:r>
          </w:p>
        </w:tc>
        <w:tc>
          <w:tcPr>
            <w:tcW w:w="90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99.07</w:t>
            </w:r>
          </w:p>
        </w:tc>
        <w:tc>
          <w:tcPr>
            <w:tcW w:w="101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97.19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6"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计算机科学技术学院</w:t>
            </w:r>
          </w:p>
        </w:tc>
        <w:tc>
          <w:tcPr>
            <w:tcW w:w="137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204</w:t>
            </w:r>
          </w:p>
        </w:tc>
        <w:tc>
          <w:tcPr>
            <w:tcW w:w="87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177</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214</w:t>
            </w:r>
          </w:p>
        </w:tc>
        <w:tc>
          <w:tcPr>
            <w:tcW w:w="114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95.59</w:t>
            </w:r>
          </w:p>
        </w:tc>
        <w:tc>
          <w:tcPr>
            <w:tcW w:w="90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94.35</w:t>
            </w:r>
          </w:p>
        </w:tc>
        <w:tc>
          <w:tcPr>
            <w:tcW w:w="101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99.53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6"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经济与管理学院</w:t>
            </w:r>
          </w:p>
        </w:tc>
        <w:tc>
          <w:tcPr>
            <w:tcW w:w="137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276</w:t>
            </w:r>
          </w:p>
        </w:tc>
        <w:tc>
          <w:tcPr>
            <w:tcW w:w="87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426</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261</w:t>
            </w:r>
          </w:p>
        </w:tc>
        <w:tc>
          <w:tcPr>
            <w:tcW w:w="114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97.46</w:t>
            </w:r>
          </w:p>
        </w:tc>
        <w:tc>
          <w:tcPr>
            <w:tcW w:w="90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94.84</w:t>
            </w:r>
          </w:p>
        </w:tc>
        <w:tc>
          <w:tcPr>
            <w:tcW w:w="101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2256"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学前教育学院</w:t>
            </w:r>
          </w:p>
        </w:tc>
        <w:tc>
          <w:tcPr>
            <w:tcW w:w="137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220</w:t>
            </w:r>
          </w:p>
        </w:tc>
        <w:tc>
          <w:tcPr>
            <w:tcW w:w="87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248</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345</w:t>
            </w:r>
          </w:p>
        </w:tc>
        <w:tc>
          <w:tcPr>
            <w:tcW w:w="114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99.09</w:t>
            </w:r>
          </w:p>
        </w:tc>
        <w:tc>
          <w:tcPr>
            <w:tcW w:w="90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99.60</w:t>
            </w:r>
          </w:p>
        </w:tc>
        <w:tc>
          <w:tcPr>
            <w:tcW w:w="101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99.13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6"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医学院</w:t>
            </w:r>
          </w:p>
        </w:tc>
        <w:tc>
          <w:tcPr>
            <w:tcW w:w="137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1380</w:t>
            </w:r>
          </w:p>
        </w:tc>
        <w:tc>
          <w:tcPr>
            <w:tcW w:w="87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1575</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2090</w:t>
            </w:r>
          </w:p>
        </w:tc>
        <w:tc>
          <w:tcPr>
            <w:tcW w:w="114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91.38</w:t>
            </w:r>
          </w:p>
        </w:tc>
        <w:tc>
          <w:tcPr>
            <w:tcW w:w="900"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90.41</w:t>
            </w:r>
          </w:p>
        </w:tc>
        <w:tc>
          <w:tcPr>
            <w:tcW w:w="1011"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93.40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6"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艺术与传媒学院</w:t>
            </w:r>
          </w:p>
        </w:tc>
        <w:tc>
          <w:tcPr>
            <w:tcW w:w="137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64</w:t>
            </w:r>
          </w:p>
        </w:tc>
        <w:tc>
          <w:tcPr>
            <w:tcW w:w="87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80</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68</w:t>
            </w:r>
          </w:p>
        </w:tc>
        <w:tc>
          <w:tcPr>
            <w:tcW w:w="114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89.06</w:t>
            </w:r>
          </w:p>
        </w:tc>
        <w:tc>
          <w:tcPr>
            <w:tcW w:w="900"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92.50</w:t>
            </w:r>
          </w:p>
        </w:tc>
        <w:tc>
          <w:tcPr>
            <w:tcW w:w="1011"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6"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总计</w:t>
            </w:r>
          </w:p>
        </w:tc>
        <w:tc>
          <w:tcPr>
            <w:tcW w:w="1379"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2405</w:t>
            </w:r>
          </w:p>
        </w:tc>
        <w:tc>
          <w:tcPr>
            <w:tcW w:w="876"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2828</w:t>
            </w:r>
          </w:p>
        </w:tc>
        <w:tc>
          <w:tcPr>
            <w:tcW w:w="956"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3369</w:t>
            </w:r>
          </w:p>
        </w:tc>
        <w:tc>
          <w:tcPr>
            <w:tcW w:w="1144"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93.68</w:t>
            </w:r>
          </w:p>
        </w:tc>
        <w:tc>
          <w:tcPr>
            <w:tcW w:w="900"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93.18</w:t>
            </w:r>
          </w:p>
        </w:tc>
        <w:tc>
          <w:tcPr>
            <w:tcW w:w="1011"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95.46</w:t>
            </w:r>
          </w:p>
        </w:tc>
      </w:tr>
    </w:tbl>
    <w:p>
      <w:pPr>
        <w:pStyle w:val="19"/>
        <w:spacing w:before="156" w:after="156"/>
      </w:pPr>
      <w:bookmarkStart w:id="35" w:name="_Toc503183029"/>
      <w:r>
        <w:rPr>
          <w:rFonts w:hint="eastAsia"/>
        </w:rPr>
        <w:t>三</w:t>
      </w:r>
      <w:r>
        <w:t>、</w:t>
      </w:r>
      <w:r>
        <w:rPr>
          <w:rFonts w:hint="eastAsia"/>
        </w:rPr>
        <w:t>2015-2017届各专业毕业生规模与就业率变化</w:t>
      </w:r>
      <w:r>
        <w:t>趋势</w:t>
      </w:r>
      <w:bookmarkEnd w:id="35"/>
    </w:p>
    <w:p>
      <w:pPr>
        <w:pStyle w:val="21"/>
        <w:ind w:firstLine="480"/>
        <w:rPr>
          <w:color w:val="000000"/>
          <w:szCs w:val="24"/>
        </w:rPr>
      </w:pPr>
      <w:r>
        <w:rPr>
          <w:rFonts w:hint="eastAsia"/>
          <w:szCs w:val="24"/>
        </w:rPr>
        <w:t>学院2015-</w:t>
      </w:r>
      <w:r>
        <w:rPr>
          <w:szCs w:val="24"/>
        </w:rPr>
        <w:t>2017届毕业生均设置的专业共有</w:t>
      </w:r>
      <w:r>
        <w:rPr>
          <w:rFonts w:hint="eastAsia"/>
          <w:szCs w:val="24"/>
        </w:rPr>
        <w:t>23个。</w:t>
      </w:r>
      <w:r>
        <w:rPr>
          <w:szCs w:val="24"/>
        </w:rPr>
        <w:t>分毕业生规模来看</w:t>
      </w:r>
      <w:r>
        <w:rPr>
          <w:rFonts w:hint="eastAsia"/>
          <w:szCs w:val="24"/>
        </w:rPr>
        <w:t>，</w:t>
      </w:r>
      <w:r>
        <w:rPr>
          <w:szCs w:val="24"/>
        </w:rPr>
        <w:t>连续三年排名前五的专业分别是护理</w:t>
      </w:r>
      <w:r>
        <w:rPr>
          <w:rFonts w:hint="eastAsia"/>
          <w:szCs w:val="24"/>
        </w:rPr>
        <w:t>、</w:t>
      </w:r>
      <w:r>
        <w:rPr>
          <w:szCs w:val="24"/>
        </w:rPr>
        <w:t>临床医院</w:t>
      </w:r>
      <w:r>
        <w:rPr>
          <w:rFonts w:hint="eastAsia"/>
          <w:szCs w:val="24"/>
        </w:rPr>
        <w:t>、</w:t>
      </w:r>
      <w:r>
        <w:rPr>
          <w:szCs w:val="24"/>
        </w:rPr>
        <w:t>学前教育</w:t>
      </w:r>
      <w:r>
        <w:rPr>
          <w:rFonts w:hint="eastAsia"/>
          <w:szCs w:val="24"/>
        </w:rPr>
        <w:t>、</w:t>
      </w:r>
      <w:r>
        <w:rPr>
          <w:szCs w:val="24"/>
        </w:rPr>
        <w:t>机电一体化</w:t>
      </w:r>
      <w:r>
        <w:rPr>
          <w:rFonts w:hint="eastAsia"/>
          <w:szCs w:val="24"/>
        </w:rPr>
        <w:t>、</w:t>
      </w:r>
      <w:r>
        <w:rPr>
          <w:szCs w:val="24"/>
        </w:rPr>
        <w:t>会计</w:t>
      </w:r>
      <w:r>
        <w:rPr>
          <w:rFonts w:hint="eastAsia"/>
          <w:szCs w:val="24"/>
        </w:rPr>
        <w:t>，且</w:t>
      </w:r>
      <w:r>
        <w:rPr>
          <w:szCs w:val="24"/>
        </w:rPr>
        <w:t>护理专业连续三年稳居第一名</w:t>
      </w:r>
      <w:r>
        <w:rPr>
          <w:rFonts w:hint="eastAsia"/>
          <w:szCs w:val="24"/>
        </w:rPr>
        <w:t>。</w:t>
      </w:r>
      <w:r>
        <w:rPr>
          <w:szCs w:val="24"/>
        </w:rPr>
        <w:t>其中护理</w:t>
      </w:r>
      <w:r>
        <w:rPr>
          <w:rFonts w:hint="eastAsia"/>
          <w:szCs w:val="24"/>
        </w:rPr>
        <w:t>、</w:t>
      </w:r>
      <w:r>
        <w:rPr>
          <w:szCs w:val="24"/>
        </w:rPr>
        <w:t>临床医</w:t>
      </w:r>
      <w:r>
        <w:rPr>
          <w:rFonts w:hint="eastAsia"/>
          <w:szCs w:val="24"/>
        </w:rPr>
        <w:t>学、</w:t>
      </w:r>
      <w:r>
        <w:rPr>
          <w:szCs w:val="24"/>
        </w:rPr>
        <w:t>学前教育专业毕业生人数均呈逐年上升趋势</w:t>
      </w:r>
      <w:r>
        <w:rPr>
          <w:rFonts w:hint="eastAsia"/>
          <w:szCs w:val="24"/>
        </w:rPr>
        <w:t>。分就业率来看，眼视光技术、医药营销、</w:t>
      </w:r>
      <w:r>
        <w:rPr>
          <w:rFonts w:hint="eastAsia"/>
          <w:color w:val="000000"/>
          <w:szCs w:val="24"/>
        </w:rPr>
        <w:t>模具设计与制造</w:t>
      </w:r>
      <w:r>
        <w:rPr>
          <w:rFonts w:hint="eastAsia"/>
          <w:szCs w:val="24"/>
        </w:rPr>
        <w:t>、数控技术、数字媒体设计与制作等5个专业连续三年实现100.00%就业。</w:t>
      </w:r>
    </w:p>
    <w:p>
      <w:pPr>
        <w:pStyle w:val="23"/>
        <w:rPr>
          <w:rFonts w:hAnsi="宋体" w:cs="宋体"/>
          <w:kern w:val="0"/>
          <w:szCs w:val="18"/>
        </w:rPr>
      </w:pPr>
      <w:r>
        <w:rPr>
          <w:rFonts w:hint="eastAsia"/>
          <w:szCs w:val="18"/>
        </w:rPr>
        <w:t>表2-</w:t>
      </w:r>
      <w:r>
        <w:rPr>
          <w:szCs w:val="18"/>
        </w:rPr>
        <w:fldChar w:fldCharType="begin"/>
      </w:r>
      <w:r>
        <w:rPr>
          <w:rFonts w:hint="eastAsia"/>
          <w:szCs w:val="18"/>
        </w:rPr>
        <w:instrText xml:space="preserve">SEQ 表2- \* ARABIC</w:instrText>
      </w:r>
      <w:r>
        <w:rPr>
          <w:szCs w:val="18"/>
        </w:rPr>
        <w:fldChar w:fldCharType="separate"/>
      </w:r>
      <w:r>
        <w:rPr>
          <w:szCs w:val="18"/>
        </w:rPr>
        <w:t>2</w:t>
      </w:r>
      <w:r>
        <w:rPr>
          <w:szCs w:val="18"/>
        </w:rPr>
        <w:fldChar w:fldCharType="end"/>
      </w:r>
      <w:r>
        <w:rPr>
          <w:rFonts w:hAnsi="宋体" w:cs="宋体"/>
          <w:kern w:val="0"/>
          <w:szCs w:val="18"/>
        </w:rPr>
        <w:t>2015-2017届各专业毕业生规模与就业率变化趋势</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：人数（</w:t>
      </w:r>
      <w:r>
        <w:rPr>
          <w:rFonts w:hint="eastAsia" w:hAnsi="宋体" w:cs="宋体"/>
          <w:kern w:val="0"/>
          <w:szCs w:val="18"/>
        </w:rPr>
        <w:t>人</w:t>
      </w:r>
      <w:r>
        <w:rPr>
          <w:rFonts w:hAnsi="宋体" w:cs="宋体"/>
          <w:kern w:val="0"/>
          <w:szCs w:val="18"/>
        </w:rPr>
        <w:t>）</w:t>
      </w:r>
      <w:r>
        <w:rPr>
          <w:rFonts w:hint="eastAsia" w:hAnsi="宋体" w:cs="宋体"/>
          <w:kern w:val="0"/>
          <w:szCs w:val="18"/>
        </w:rPr>
        <w:t>、</w:t>
      </w:r>
      <w:r>
        <w:rPr>
          <w:rFonts w:hAnsi="宋体" w:cs="宋体"/>
          <w:kern w:val="0"/>
          <w:szCs w:val="18"/>
        </w:rPr>
        <w:t>就业率（</w:t>
      </w:r>
      <w:r>
        <w:rPr>
          <w:rFonts w:hint="eastAsia" w:hAnsi="宋体" w:cs="宋体"/>
          <w:kern w:val="0"/>
          <w:szCs w:val="18"/>
        </w:rPr>
        <w:t>%</w:t>
      </w:r>
      <w:r>
        <w:rPr>
          <w:rFonts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2258"/>
        <w:gridCol w:w="1164"/>
        <w:gridCol w:w="956"/>
        <w:gridCol w:w="956"/>
        <w:gridCol w:w="1164"/>
        <w:gridCol w:w="1012"/>
        <w:gridCol w:w="1012"/>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Merge w:val="restart"/>
            <w:tcBorders>
              <w:top w:val="single" w:color="5B9BD5" w:themeColor="accent1" w:sz="4" w:space="0"/>
              <w:left w:val="single" w:color="5B9BD5" w:themeColor="accent1" w:sz="4" w:space="0"/>
              <w:bottom w:val="single" w:color="FFFFFF" w:themeColor="background1" w:sz="4" w:space="0"/>
              <w:right w:val="nil"/>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专业</w:t>
            </w:r>
          </w:p>
        </w:tc>
        <w:tc>
          <w:tcPr>
            <w:tcW w:w="3076" w:type="dxa"/>
            <w:gridSpan w:val="3"/>
            <w:tcBorders>
              <w:top w:val="single" w:color="5B9BD5" w:themeColor="accent1" w:sz="4" w:space="0"/>
              <w:left w:val="single" w:color="FFFFFF" w:themeColor="background1" w:sz="4" w:space="0"/>
              <w:bottom w:val="single" w:color="FFFFFF" w:themeColor="background1" w:sz="4" w:space="0"/>
              <w:right w:val="nil"/>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毕业人数</w:t>
            </w:r>
          </w:p>
        </w:tc>
        <w:tc>
          <w:tcPr>
            <w:tcW w:w="3188" w:type="dxa"/>
            <w:gridSpan w:val="3"/>
            <w:tcBorders>
              <w:top w:val="single" w:color="5B9BD5" w:themeColor="accent1" w:sz="4" w:space="0"/>
              <w:left w:val="single" w:color="FFFFFF" w:themeColor="background1" w:sz="4" w:space="0"/>
              <w:bottom w:val="single" w:color="FFFFFF" w:themeColor="background1" w:sz="4" w:space="0"/>
              <w:right w:val="single" w:color="5B9BD5" w:themeColor="accent1"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就业率</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Merge w:val="continue"/>
            <w:tcBorders>
              <w:top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p>
        </w:tc>
        <w:tc>
          <w:tcPr>
            <w:tcW w:w="1164"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2015届</w:t>
            </w:r>
          </w:p>
        </w:tc>
        <w:tc>
          <w:tcPr>
            <w:tcW w:w="956"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2016届</w:t>
            </w:r>
          </w:p>
        </w:tc>
        <w:tc>
          <w:tcPr>
            <w:tcW w:w="956"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2017届</w:t>
            </w:r>
          </w:p>
        </w:tc>
        <w:tc>
          <w:tcPr>
            <w:tcW w:w="1164"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2015届</w:t>
            </w:r>
          </w:p>
        </w:tc>
        <w:tc>
          <w:tcPr>
            <w:tcW w:w="1012" w:type="dxa"/>
            <w:tcBorders>
              <w:top w:val="single" w:color="FFFFFF" w:themeColor="background1" w:sz="4" w:space="0"/>
              <w:left w:val="single" w:color="FFFFFF" w:themeColor="background1" w:sz="4" w:space="0"/>
              <w:righ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2016届</w:t>
            </w:r>
          </w:p>
        </w:tc>
        <w:tc>
          <w:tcPr>
            <w:tcW w:w="1012" w:type="dxa"/>
            <w:tcBorders>
              <w:top w:val="single" w:color="FFFFFF" w:themeColor="background1" w:sz="4" w:space="0"/>
              <w:left w:val="single" w:color="FFFFFF" w:themeColor="background1" w:sz="4" w:space="0"/>
            </w:tcBorders>
            <w:shd w:val="clear" w:color="auto" w:fill="5B9BD5" w:themeFill="accent1"/>
            <w:vAlign w:val="center"/>
          </w:tcPr>
          <w:p>
            <w:pPr>
              <w:widowControl/>
              <w:jc w:val="center"/>
              <w:rPr>
                <w:rFonts w:cs="宋体" w:asciiTheme="majorEastAsia" w:hAnsiTheme="majorEastAsia" w:eastAsiaTheme="majorEastAsia"/>
                <w:b/>
                <w:color w:val="FFFFFF" w:themeColor="background1"/>
                <w:kern w:val="0"/>
                <w:sz w:val="18"/>
                <w:szCs w:val="18"/>
              </w:rPr>
            </w:pPr>
            <w:r>
              <w:rPr>
                <w:rFonts w:hint="eastAsia" w:cs="宋体" w:asciiTheme="majorEastAsia" w:hAnsiTheme="majorEastAsia" w:eastAsiaTheme="majorEastAsia"/>
                <w:b/>
                <w:color w:val="FFFFFF" w:themeColor="background1"/>
                <w:kern w:val="0"/>
                <w:sz w:val="18"/>
                <w:szCs w:val="18"/>
              </w:rPr>
              <w:t>2017届</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服装设计</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92.31</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82.35</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护理</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846</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998</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1146</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94.44</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93.29</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94.85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会计</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129</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190</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126</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99.22</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96.84</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98.41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机电一体化技术</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132</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186</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136</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94.70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98.92</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计算机网络技术</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126</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53</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48</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92.86</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96.23</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建筑工程技术</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69</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酒店管理</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21</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89</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71</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89.89</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康复治疗技术</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23</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44</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83</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93.18</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92.77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临床医学</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498</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531</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855</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85.54</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84.75</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91.46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楼宇智能化工程技术</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68</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94.12</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模具设计与制造</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47</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24</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19</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汽车检测与维修技术</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105</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93.33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嵌入式技术与应用</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52</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29</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44</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93.10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97.73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软件开发与项目管理</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26</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27</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92.59</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商务英语</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25</w:t>
            </w:r>
          </w:p>
        </w:tc>
        <w:tc>
          <w:tcPr>
            <w:tcW w:w="956" w:type="dxa"/>
            <w:vAlign w:val="center"/>
          </w:tcPr>
          <w:p>
            <w:pPr>
              <w:widowControl/>
              <w:jc w:val="center"/>
              <w:rPr>
                <w:rFonts w:cs="宋体" w:asciiTheme="majorEastAsia" w:hAnsiTheme="majorEastAsia" w:eastAsiaTheme="majorEastAsia"/>
                <w:color w:val="000000"/>
                <w:kern w:val="0"/>
                <w:sz w:val="18"/>
                <w:szCs w:val="18"/>
              </w:rPr>
            </w:pPr>
          </w:p>
        </w:tc>
        <w:tc>
          <w:tcPr>
            <w:tcW w:w="956" w:type="dxa"/>
            <w:vAlign w:val="center"/>
          </w:tcPr>
          <w:p>
            <w:pPr>
              <w:widowControl/>
              <w:jc w:val="center"/>
              <w:rPr>
                <w:rFonts w:cs="宋体" w:asciiTheme="majorEastAsia" w:hAnsiTheme="majorEastAsia" w:eastAsiaTheme="majorEastAsia"/>
                <w:color w:val="000000"/>
                <w:kern w:val="0"/>
                <w:sz w:val="18"/>
                <w:szCs w:val="18"/>
              </w:rPr>
            </w:pP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96.00</w:t>
            </w:r>
          </w:p>
        </w:tc>
        <w:tc>
          <w:tcPr>
            <w:tcW w:w="1012" w:type="dxa"/>
            <w:vAlign w:val="center"/>
          </w:tcPr>
          <w:p>
            <w:pPr>
              <w:widowControl/>
              <w:jc w:val="center"/>
              <w:rPr>
                <w:rFonts w:cs="宋体" w:asciiTheme="majorEastAsia" w:hAnsiTheme="majorEastAsia" w:eastAsiaTheme="majorEastAsia"/>
                <w:color w:val="000000"/>
                <w:kern w:val="0"/>
                <w:sz w:val="18"/>
                <w:szCs w:val="18"/>
              </w:rPr>
            </w:pPr>
          </w:p>
        </w:tc>
        <w:tc>
          <w:tcPr>
            <w:tcW w:w="1012" w:type="dxa"/>
            <w:vAlign w:val="center"/>
          </w:tcPr>
          <w:p>
            <w:pPr>
              <w:widowControl/>
              <w:jc w:val="center"/>
              <w:rPr>
                <w:rFonts w:cs="宋体" w:asciiTheme="majorEastAsia" w:hAnsiTheme="majorEastAsia" w:eastAsiaTheme="majorEastAsia"/>
                <w:color w:val="000000"/>
                <w:kern w:val="0"/>
                <w:sz w:val="18"/>
                <w:szCs w:val="18"/>
              </w:rPr>
            </w:pP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社会体育</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72.73</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食品加工技术</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w:t>
            </w:r>
          </w:p>
        </w:tc>
        <w:tc>
          <w:tcPr>
            <w:tcW w:w="956" w:type="dxa"/>
            <w:vAlign w:val="center"/>
          </w:tcPr>
          <w:p>
            <w:pPr>
              <w:widowControl/>
              <w:jc w:val="center"/>
              <w:rPr>
                <w:rFonts w:cs="宋体" w:asciiTheme="majorEastAsia" w:hAnsiTheme="majorEastAsia" w:eastAsiaTheme="majorEastAsia"/>
                <w:color w:val="000000"/>
                <w:kern w:val="0"/>
                <w:sz w:val="18"/>
                <w:szCs w:val="18"/>
              </w:rPr>
            </w:pPr>
          </w:p>
        </w:tc>
        <w:tc>
          <w:tcPr>
            <w:tcW w:w="956" w:type="dxa"/>
            <w:vAlign w:val="center"/>
          </w:tcPr>
          <w:p>
            <w:pPr>
              <w:widowControl/>
              <w:jc w:val="center"/>
              <w:rPr>
                <w:rFonts w:cs="宋体" w:asciiTheme="majorEastAsia" w:hAnsiTheme="majorEastAsia" w:eastAsiaTheme="majorEastAsia"/>
                <w:color w:val="000000"/>
                <w:kern w:val="0"/>
                <w:sz w:val="18"/>
                <w:szCs w:val="18"/>
              </w:rPr>
            </w:pP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80.00</w:t>
            </w:r>
          </w:p>
        </w:tc>
        <w:tc>
          <w:tcPr>
            <w:tcW w:w="1012" w:type="dxa"/>
            <w:vAlign w:val="center"/>
          </w:tcPr>
          <w:p>
            <w:pPr>
              <w:widowControl/>
              <w:jc w:val="center"/>
              <w:rPr>
                <w:rFonts w:cs="宋体" w:asciiTheme="majorEastAsia" w:hAnsiTheme="majorEastAsia" w:eastAsiaTheme="majorEastAsia"/>
                <w:color w:val="000000"/>
                <w:kern w:val="0"/>
                <w:sz w:val="18"/>
                <w:szCs w:val="18"/>
              </w:rPr>
            </w:pPr>
          </w:p>
        </w:tc>
        <w:tc>
          <w:tcPr>
            <w:tcW w:w="1012" w:type="dxa"/>
            <w:vAlign w:val="center"/>
          </w:tcPr>
          <w:p>
            <w:pPr>
              <w:widowControl/>
              <w:jc w:val="center"/>
              <w:rPr>
                <w:rFonts w:cs="宋体" w:asciiTheme="majorEastAsia" w:hAnsiTheme="majorEastAsia" w:eastAsiaTheme="majorEastAsia"/>
                <w:color w:val="000000"/>
                <w:kern w:val="0"/>
                <w:sz w:val="18"/>
                <w:szCs w:val="18"/>
              </w:rPr>
            </w:pP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数控技术</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33</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21</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数字媒体设计与制作</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物流管理</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46</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36</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97.22</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新闻采编与制作</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87.50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学前教育</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220</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248</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261</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99.09</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99.60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眼视光技术</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医药营销</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22</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应用电子技术</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49</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91</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121</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97.96</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98.90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96.69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园林技术</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35</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89</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88.57</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93.26</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96.88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主持与播音</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w:t>
            </w:r>
          </w:p>
        </w:tc>
        <w:tc>
          <w:tcPr>
            <w:tcW w:w="95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w:t>
            </w:r>
          </w:p>
        </w:tc>
        <w:tc>
          <w:tcPr>
            <w:tcW w:w="116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85.71</w:t>
            </w:r>
          </w:p>
        </w:tc>
        <w:tc>
          <w:tcPr>
            <w:tcW w:w="1012"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2258"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装潢艺术设计</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19</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37</w:t>
            </w:r>
          </w:p>
        </w:tc>
        <w:tc>
          <w:tcPr>
            <w:tcW w:w="95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w:t>
            </w:r>
          </w:p>
        </w:tc>
        <w:tc>
          <w:tcPr>
            <w:tcW w:w="116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84.21</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97.30</w:t>
            </w:r>
          </w:p>
        </w:tc>
        <w:tc>
          <w:tcPr>
            <w:tcW w:w="1012"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258" w:type="dxa"/>
            <w:vAlign w:val="center"/>
          </w:tcPr>
          <w:p>
            <w:pPr>
              <w:widowControl/>
              <w:jc w:val="center"/>
              <w:rPr>
                <w:rFonts w:cs="宋体" w:asciiTheme="majorEastAsia" w:hAnsiTheme="majorEastAsia" w:eastAsiaTheme="majorEastAsia"/>
                <w:b/>
                <w:bCs/>
                <w:color w:val="000000"/>
                <w:kern w:val="0"/>
                <w:sz w:val="18"/>
                <w:szCs w:val="18"/>
              </w:rPr>
            </w:pPr>
            <w:r>
              <w:rPr>
                <w:rFonts w:hint="eastAsia" w:cs="宋体" w:asciiTheme="majorEastAsia" w:hAnsiTheme="majorEastAsia" w:eastAsiaTheme="majorEastAsia"/>
                <w:b/>
                <w:bCs/>
                <w:color w:val="000000"/>
                <w:kern w:val="0"/>
                <w:sz w:val="18"/>
                <w:szCs w:val="18"/>
              </w:rPr>
              <w:t>总计</w:t>
            </w:r>
          </w:p>
        </w:tc>
        <w:tc>
          <w:tcPr>
            <w:tcW w:w="1164"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2405</w:t>
            </w:r>
          </w:p>
        </w:tc>
        <w:tc>
          <w:tcPr>
            <w:tcW w:w="956"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2828</w:t>
            </w:r>
          </w:p>
        </w:tc>
        <w:tc>
          <w:tcPr>
            <w:tcW w:w="956"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3369</w:t>
            </w:r>
          </w:p>
        </w:tc>
        <w:tc>
          <w:tcPr>
            <w:tcW w:w="1164"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93.68</w:t>
            </w:r>
          </w:p>
        </w:tc>
        <w:tc>
          <w:tcPr>
            <w:tcW w:w="1012"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93.18</w:t>
            </w:r>
          </w:p>
        </w:tc>
        <w:tc>
          <w:tcPr>
            <w:tcW w:w="1012" w:type="dxa"/>
            <w:vAlign w:val="center"/>
          </w:tcPr>
          <w:p>
            <w:pPr>
              <w:widowControl/>
              <w:jc w:val="center"/>
              <w:rPr>
                <w:rFonts w:cs="宋体" w:asciiTheme="majorEastAsia" w:hAnsiTheme="majorEastAsia" w:eastAsiaTheme="majorEastAsia"/>
                <w:b/>
                <w:color w:val="000000"/>
                <w:kern w:val="0"/>
                <w:sz w:val="18"/>
                <w:szCs w:val="18"/>
              </w:rPr>
            </w:pPr>
            <w:r>
              <w:rPr>
                <w:rFonts w:hint="eastAsia" w:cs="宋体" w:asciiTheme="majorEastAsia" w:hAnsiTheme="majorEastAsia" w:eastAsiaTheme="majorEastAsia"/>
                <w:b/>
                <w:color w:val="000000"/>
                <w:kern w:val="0"/>
                <w:sz w:val="18"/>
                <w:szCs w:val="18"/>
              </w:rPr>
              <w:t>95.46</w:t>
            </w:r>
          </w:p>
        </w:tc>
      </w:tr>
    </w:tbl>
    <w:p>
      <w:pPr>
        <w:widowControl/>
        <w:spacing w:before="120" w:after="120" w:line="360" w:lineRule="auto"/>
        <w:jc w:val="left"/>
        <w:outlineLvl w:val="1"/>
        <w:rPr>
          <w:rFonts w:ascii="宋体" w:hAnsi="宋体" w:eastAsia="宋体" w:cs="宋体"/>
          <w:b/>
          <w:kern w:val="0"/>
          <w:sz w:val="28"/>
          <w:szCs w:val="24"/>
        </w:rPr>
      </w:pPr>
      <w:bookmarkStart w:id="36" w:name="_Toc503183030"/>
      <w:r>
        <w:rPr>
          <w:rFonts w:hint="eastAsia" w:ascii="宋体" w:hAnsi="宋体" w:eastAsia="宋体" w:cs="宋体"/>
          <w:b/>
          <w:kern w:val="0"/>
          <w:sz w:val="28"/>
          <w:szCs w:val="24"/>
        </w:rPr>
        <w:t>四</w:t>
      </w:r>
      <w:r>
        <w:rPr>
          <w:rFonts w:ascii="宋体" w:hAnsi="宋体" w:eastAsia="宋体" w:cs="宋体"/>
          <w:b/>
          <w:kern w:val="0"/>
          <w:sz w:val="28"/>
          <w:szCs w:val="24"/>
        </w:rPr>
        <w:t>、</w:t>
      </w:r>
      <w:r>
        <w:rPr>
          <w:rFonts w:hint="eastAsia" w:ascii="宋体" w:hAnsi="宋体" w:eastAsia="宋体" w:cs="宋体"/>
          <w:b/>
          <w:kern w:val="0"/>
          <w:sz w:val="28"/>
          <w:szCs w:val="24"/>
        </w:rPr>
        <w:t>2015-2017届毕业生就业单位行业变化</w:t>
      </w:r>
      <w:r>
        <w:rPr>
          <w:rFonts w:ascii="宋体" w:hAnsi="宋体" w:eastAsia="宋体" w:cs="宋体"/>
          <w:b/>
          <w:kern w:val="0"/>
          <w:sz w:val="28"/>
          <w:szCs w:val="24"/>
        </w:rPr>
        <w:t>趋势</w:t>
      </w:r>
      <w:bookmarkEnd w:id="36"/>
    </w:p>
    <w:p>
      <w:pPr>
        <w:pStyle w:val="21"/>
        <w:ind w:firstLine="480"/>
      </w:pPr>
      <w:r>
        <w:t>近三年</w:t>
      </w:r>
      <w:r>
        <w:rPr>
          <w:rFonts w:hint="eastAsia"/>
        </w:rPr>
        <w:t>，学院</w:t>
      </w:r>
      <w:r>
        <w:t>毕业生就业单位行业排名前四均未发生变化</w:t>
      </w:r>
      <w:r>
        <w:rPr>
          <w:rFonts w:hint="eastAsia"/>
        </w:rPr>
        <w:t>，依次</w:t>
      </w:r>
      <w:r>
        <w:t>是</w:t>
      </w:r>
      <w:r>
        <w:rPr>
          <w:rFonts w:hint="eastAsia"/>
        </w:rPr>
        <w:t>“</w:t>
      </w:r>
      <w:r>
        <w:t>卫生和社会工作</w:t>
      </w:r>
      <w:r>
        <w:rPr>
          <w:rFonts w:hint="eastAsia"/>
        </w:rPr>
        <w:t>”“制造业”“教育”“信息传输、软件和信息技术服务业”；排名第五的行业由2015届的“建筑业”变为2016届和2017届的“居民服务、修理和其他服务业”。</w:t>
      </w:r>
    </w:p>
    <w:p>
      <w:pPr>
        <w:pStyle w:val="23"/>
        <w:rPr>
          <w:rFonts w:hAnsi="宋体" w:cs="宋体"/>
          <w:kern w:val="0"/>
          <w:szCs w:val="18"/>
        </w:rPr>
      </w:pPr>
      <w:r>
        <w:rPr>
          <w:rFonts w:hint="eastAsia"/>
          <w:szCs w:val="18"/>
        </w:rPr>
        <w:t>表2-</w:t>
      </w:r>
      <w:r>
        <w:rPr>
          <w:szCs w:val="18"/>
        </w:rPr>
        <w:fldChar w:fldCharType="begin"/>
      </w:r>
      <w:r>
        <w:rPr>
          <w:rFonts w:hint="eastAsia"/>
          <w:szCs w:val="18"/>
        </w:rPr>
        <w:instrText xml:space="preserve">SEQ 表2- \* ARABIC</w:instrText>
      </w:r>
      <w:r>
        <w:rPr>
          <w:szCs w:val="18"/>
        </w:rPr>
        <w:fldChar w:fldCharType="separate"/>
      </w:r>
      <w:r>
        <w:rPr>
          <w:szCs w:val="18"/>
        </w:rPr>
        <w:t>3</w:t>
      </w:r>
      <w:r>
        <w:rPr>
          <w:szCs w:val="18"/>
        </w:rPr>
        <w:fldChar w:fldCharType="end"/>
      </w:r>
      <w:r>
        <w:rPr>
          <w:rFonts w:hint="eastAsia" w:hAnsi="宋体" w:cs="宋体"/>
          <w:kern w:val="0"/>
          <w:szCs w:val="18"/>
        </w:rPr>
        <w:t>2015-2017届毕业生就业单位行业排名前五分布</w:t>
      </w:r>
    </w:p>
    <w:p>
      <w:pPr>
        <w:pStyle w:val="23"/>
        <w:jc w:val="right"/>
        <w:rPr>
          <w:rFonts w:hAnsi="宋体" w:cs="宋体"/>
          <w:kern w:val="0"/>
          <w:szCs w:val="18"/>
        </w:rPr>
      </w:pPr>
      <w:r>
        <w:rPr>
          <w:rFonts w:hint="eastAsia" w:hAnsi="宋体" w:cs="宋体"/>
          <w:kern w:val="0"/>
          <w:szCs w:val="18"/>
        </w:rPr>
        <w:t>单位</w:t>
      </w:r>
      <w:r>
        <w:rPr>
          <w:rFonts w:hAnsi="宋体" w:cs="宋体"/>
          <w:kern w:val="0"/>
          <w:szCs w:val="18"/>
        </w:rPr>
        <w:t>：</w:t>
      </w:r>
      <w:r>
        <w:rPr>
          <w:rFonts w:hint="eastAsia" w:hAnsi="宋体" w:cs="宋体"/>
          <w:kern w:val="0"/>
          <w:szCs w:val="18"/>
        </w:rP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888"/>
        <w:gridCol w:w="961"/>
        <w:gridCol w:w="2274"/>
        <w:gridCol w:w="699"/>
        <w:gridCol w:w="1892"/>
        <w:gridCol w:w="808"/>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2849" w:type="dxa"/>
            <w:gridSpan w:val="2"/>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2015届</w:t>
            </w:r>
          </w:p>
        </w:tc>
        <w:tc>
          <w:tcPr>
            <w:tcW w:w="2973" w:type="dxa"/>
            <w:gridSpan w:val="2"/>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2016届</w:t>
            </w:r>
          </w:p>
        </w:tc>
        <w:tc>
          <w:tcPr>
            <w:tcW w:w="2700" w:type="dxa"/>
            <w:gridSpan w:val="2"/>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ascii="宋体" w:hAnsi="宋体" w:eastAsia="宋体" w:cs="宋体"/>
                <w:b/>
                <w:bCs/>
                <w:color w:val="FFFFFF" w:themeColor="background1"/>
                <w:kern w:val="0"/>
                <w:sz w:val="18"/>
              </w:rPr>
            </w:pPr>
            <w:r>
              <w:rPr>
                <w:rFonts w:hint="eastAsia" w:ascii="宋体" w:hAnsi="宋体" w:eastAsia="宋体" w:cs="宋体"/>
                <w:b/>
                <w:bCs/>
                <w:color w:val="FFFFFF" w:themeColor="background1"/>
                <w:kern w:val="0"/>
                <w:sz w:val="18"/>
              </w:rPr>
              <w:t>2017届</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8" w:type="dxa"/>
            <w:shd w:val="clear" w:color="auto" w:fill="DEEAF6" w:themeFill="accent1" w:themeFillTint="33"/>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行业</w:t>
            </w:r>
          </w:p>
        </w:tc>
        <w:tc>
          <w:tcPr>
            <w:tcW w:w="961"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占比</w:t>
            </w:r>
          </w:p>
        </w:tc>
        <w:tc>
          <w:tcPr>
            <w:tcW w:w="2274"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行业</w:t>
            </w:r>
          </w:p>
        </w:tc>
        <w:tc>
          <w:tcPr>
            <w:tcW w:w="699"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占比</w:t>
            </w:r>
          </w:p>
        </w:tc>
        <w:tc>
          <w:tcPr>
            <w:tcW w:w="1892"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行业</w:t>
            </w:r>
          </w:p>
        </w:tc>
        <w:tc>
          <w:tcPr>
            <w:tcW w:w="808"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占比</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8"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卫生和社会工作</w:t>
            </w:r>
          </w:p>
        </w:tc>
        <w:tc>
          <w:tcPr>
            <w:tcW w:w="961"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46.19</w:t>
            </w:r>
          </w:p>
        </w:tc>
        <w:tc>
          <w:tcPr>
            <w:tcW w:w="2274"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卫生和社会工作</w:t>
            </w:r>
          </w:p>
        </w:tc>
        <w:tc>
          <w:tcPr>
            <w:tcW w:w="699"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45.80</w:t>
            </w:r>
          </w:p>
        </w:tc>
        <w:tc>
          <w:tcPr>
            <w:tcW w:w="1892"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卫生和社会工作</w:t>
            </w:r>
          </w:p>
        </w:tc>
        <w:tc>
          <w:tcPr>
            <w:tcW w:w="808"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47.64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8" w:type="dxa"/>
            <w:shd w:val="clear" w:color="auto" w:fill="DEEAF6" w:themeFill="accent1" w:themeFillTint="33"/>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制造业</w:t>
            </w:r>
          </w:p>
        </w:tc>
        <w:tc>
          <w:tcPr>
            <w:tcW w:w="961"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12.40</w:t>
            </w:r>
          </w:p>
        </w:tc>
        <w:tc>
          <w:tcPr>
            <w:tcW w:w="2274"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制造业</w:t>
            </w:r>
          </w:p>
        </w:tc>
        <w:tc>
          <w:tcPr>
            <w:tcW w:w="699"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11.01</w:t>
            </w:r>
          </w:p>
        </w:tc>
        <w:tc>
          <w:tcPr>
            <w:tcW w:w="1892"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制造业</w:t>
            </w:r>
          </w:p>
        </w:tc>
        <w:tc>
          <w:tcPr>
            <w:tcW w:w="808"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9.86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8"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教育</w:t>
            </w:r>
          </w:p>
        </w:tc>
        <w:tc>
          <w:tcPr>
            <w:tcW w:w="961"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10.69</w:t>
            </w:r>
          </w:p>
        </w:tc>
        <w:tc>
          <w:tcPr>
            <w:tcW w:w="2274"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教育</w:t>
            </w:r>
          </w:p>
        </w:tc>
        <w:tc>
          <w:tcPr>
            <w:tcW w:w="699"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10.86</w:t>
            </w:r>
          </w:p>
        </w:tc>
        <w:tc>
          <w:tcPr>
            <w:tcW w:w="1892"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教育</w:t>
            </w:r>
          </w:p>
        </w:tc>
        <w:tc>
          <w:tcPr>
            <w:tcW w:w="808"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8.88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888" w:type="dxa"/>
            <w:shd w:val="clear" w:color="auto" w:fill="DEEAF6" w:themeFill="accent1" w:themeFillTint="33"/>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信息传输、软件和信息技术服务业</w:t>
            </w:r>
          </w:p>
        </w:tc>
        <w:tc>
          <w:tcPr>
            <w:tcW w:w="961"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10.33</w:t>
            </w:r>
          </w:p>
        </w:tc>
        <w:tc>
          <w:tcPr>
            <w:tcW w:w="2274"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信息传输、软件和信息技术服务业</w:t>
            </w:r>
          </w:p>
        </w:tc>
        <w:tc>
          <w:tcPr>
            <w:tcW w:w="699"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7.12</w:t>
            </w:r>
          </w:p>
        </w:tc>
        <w:tc>
          <w:tcPr>
            <w:tcW w:w="1892"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信息传输、软件和信息技术服务业</w:t>
            </w:r>
          </w:p>
        </w:tc>
        <w:tc>
          <w:tcPr>
            <w:tcW w:w="808" w:type="dxa"/>
            <w:shd w:val="clear" w:color="auto" w:fill="DEEAF6" w:themeFill="accent1" w:themeFillTint="33"/>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6.53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88" w:type="dxa"/>
            <w:vAlign w:val="center"/>
          </w:tcPr>
          <w:p>
            <w:pPr>
              <w:widowControl/>
              <w:jc w:val="center"/>
              <w:rPr>
                <w:rFonts w:ascii="宋体" w:hAnsi="宋体" w:eastAsia="宋体" w:cs="宋体"/>
                <w:b w:val="0"/>
                <w:bCs/>
                <w:color w:val="000000"/>
                <w:kern w:val="0"/>
                <w:sz w:val="18"/>
              </w:rPr>
            </w:pPr>
            <w:r>
              <w:rPr>
                <w:rFonts w:hint="eastAsia" w:ascii="宋体" w:hAnsi="宋体" w:eastAsia="宋体" w:cs="宋体"/>
                <w:b w:val="0"/>
                <w:bCs/>
                <w:color w:val="000000"/>
                <w:kern w:val="0"/>
                <w:sz w:val="18"/>
              </w:rPr>
              <w:t>建筑业</w:t>
            </w:r>
          </w:p>
        </w:tc>
        <w:tc>
          <w:tcPr>
            <w:tcW w:w="961"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3.65</w:t>
            </w:r>
          </w:p>
        </w:tc>
        <w:tc>
          <w:tcPr>
            <w:tcW w:w="2274"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居民服务、修理和其他服务业</w:t>
            </w:r>
          </w:p>
        </w:tc>
        <w:tc>
          <w:tcPr>
            <w:tcW w:w="699"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7.08</w:t>
            </w:r>
          </w:p>
        </w:tc>
        <w:tc>
          <w:tcPr>
            <w:tcW w:w="1892"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居民服务、修理和其他服务业</w:t>
            </w:r>
          </w:p>
        </w:tc>
        <w:tc>
          <w:tcPr>
            <w:tcW w:w="808" w:type="dxa"/>
            <w:vAlign w:val="center"/>
          </w:tcPr>
          <w:p>
            <w:pPr>
              <w:widowControl/>
              <w:jc w:val="center"/>
              <w:rPr>
                <w:rFonts w:ascii="宋体" w:hAnsi="宋体" w:eastAsia="宋体" w:cs="宋体"/>
                <w:color w:val="000000"/>
                <w:kern w:val="0"/>
                <w:sz w:val="18"/>
              </w:rPr>
            </w:pPr>
            <w:r>
              <w:rPr>
                <w:rFonts w:hint="eastAsia" w:ascii="宋体" w:hAnsi="宋体" w:eastAsia="宋体" w:cs="宋体"/>
                <w:color w:val="000000"/>
                <w:kern w:val="0"/>
                <w:sz w:val="18"/>
              </w:rPr>
              <w:t>5.49</w:t>
            </w:r>
          </w:p>
        </w:tc>
      </w:tr>
    </w:tbl>
    <w:p>
      <w:pPr>
        <w:pStyle w:val="19"/>
        <w:spacing w:before="156" w:after="156"/>
      </w:pPr>
      <w:bookmarkStart w:id="37" w:name="_Toc503183031"/>
      <w:r>
        <w:rPr>
          <w:rFonts w:hint="eastAsia"/>
        </w:rPr>
        <w:t>四</w:t>
      </w:r>
      <w:r>
        <w:t>、</w:t>
      </w:r>
      <w:r>
        <w:rPr>
          <w:rFonts w:hint="eastAsia"/>
        </w:rPr>
        <w:t>2015-2017届毕业生就业地域变化</w:t>
      </w:r>
      <w:r>
        <w:t>趋势</w:t>
      </w:r>
      <w:bookmarkEnd w:id="37"/>
    </w:p>
    <w:p>
      <w:pPr>
        <w:pStyle w:val="21"/>
        <w:ind w:firstLine="480"/>
      </w:pPr>
      <w:r>
        <w:rPr>
          <w:rFonts w:hint="eastAsia"/>
        </w:rPr>
        <w:t>学院2015-</w:t>
      </w:r>
      <w:r>
        <w:t>2017届毕业生就业地域排名前三的省份分别是湖北省</w:t>
      </w:r>
      <w:r>
        <w:rPr>
          <w:rFonts w:hint="eastAsia"/>
        </w:rPr>
        <w:t>、</w:t>
      </w:r>
      <w:r>
        <w:t>广东省</w:t>
      </w:r>
      <w:r>
        <w:rPr>
          <w:rFonts w:hint="eastAsia"/>
        </w:rPr>
        <w:t>、</w:t>
      </w:r>
      <w:r>
        <w:t>浙江省</w:t>
      </w:r>
      <w:r>
        <w:rPr>
          <w:rFonts w:hint="eastAsia"/>
        </w:rPr>
        <w:t>，</w:t>
      </w:r>
      <w:r>
        <w:t>但是排名发生了略微变化</w:t>
      </w:r>
      <w:r>
        <w:rPr>
          <w:rFonts w:hint="eastAsia"/>
        </w:rPr>
        <w:t>。</w:t>
      </w:r>
      <w:r>
        <w:t>其中在湖北省就业人数占比连续三年保持在</w:t>
      </w:r>
      <w:r>
        <w:rPr>
          <w:rFonts w:hint="eastAsia"/>
        </w:rPr>
        <w:t>64.00%以上。</w:t>
      </w:r>
    </w:p>
    <w:p>
      <w:pPr>
        <w:widowControl/>
        <w:jc w:val="center"/>
        <w:rPr>
          <w:rFonts w:ascii="宋体" w:hAnsi="宋体" w:eastAsia="宋体" w:cs="宋体"/>
          <w:kern w:val="0"/>
          <w:sz w:val="24"/>
          <w:szCs w:val="24"/>
        </w:rPr>
      </w:pPr>
      <w:r>
        <w:drawing>
          <wp:inline distT="0" distB="0" distL="0" distR="0">
            <wp:extent cx="4572000" cy="2752725"/>
            <wp:effectExtent l="0" t="0" r="0" b="9525"/>
            <wp:docPr id="222" name="图表 2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pPr>
        <w:pStyle w:val="23"/>
        <w:rPr>
          <w:rFonts w:hAnsi="宋体" w:cs="宋体"/>
          <w:kern w:val="0"/>
          <w:szCs w:val="18"/>
        </w:rPr>
      </w:pPr>
      <w:r>
        <w:rPr>
          <w:rFonts w:hint="eastAsia"/>
          <w:szCs w:val="18"/>
        </w:rPr>
        <w:t>图2-</w:t>
      </w:r>
      <w:r>
        <w:rPr>
          <w:szCs w:val="18"/>
        </w:rPr>
        <w:fldChar w:fldCharType="begin"/>
      </w:r>
      <w:r>
        <w:rPr>
          <w:rFonts w:hint="eastAsia"/>
          <w:szCs w:val="18"/>
        </w:rPr>
        <w:instrText xml:space="preserve">SEQ 图2- \* ARABIC</w:instrText>
      </w:r>
      <w:r>
        <w:rPr>
          <w:szCs w:val="18"/>
        </w:rPr>
        <w:fldChar w:fldCharType="separate"/>
      </w:r>
      <w:r>
        <w:rPr>
          <w:szCs w:val="18"/>
        </w:rPr>
        <w:t>3</w:t>
      </w:r>
      <w:r>
        <w:rPr>
          <w:szCs w:val="18"/>
        </w:rPr>
        <w:fldChar w:fldCharType="end"/>
      </w:r>
      <w:r>
        <w:rPr>
          <w:rFonts w:hAnsi="宋体" w:cs="宋体"/>
          <w:kern w:val="0"/>
          <w:szCs w:val="18"/>
        </w:rPr>
        <w:t>2015-2017届毕业生就业地域排名前三分布</w:t>
      </w:r>
    </w:p>
    <w:p>
      <w:pPr>
        <w:pStyle w:val="21"/>
        <w:ind w:firstLine="480"/>
      </w:pPr>
    </w:p>
    <w:p>
      <w:pPr>
        <w:pStyle w:val="21"/>
        <w:ind w:firstLine="480"/>
      </w:pPr>
    </w:p>
    <w:p>
      <w:pPr>
        <w:pStyle w:val="21"/>
        <w:ind w:firstLine="480"/>
      </w:pPr>
    </w:p>
    <w:p>
      <w:pPr>
        <w:pStyle w:val="27"/>
        <w:spacing w:before="156" w:after="156"/>
      </w:pPr>
      <w:bookmarkStart w:id="38" w:name="_Toc503183032"/>
      <w:bookmarkStart w:id="39" w:name="_Toc501043963"/>
      <w:r>
        <w:rPr>
          <w:rFonts w:hint="eastAsia"/>
        </w:rPr>
        <w:t xml:space="preserve">第三章 </w:t>
      </w:r>
      <w:r>
        <w:t>2017</w:t>
      </w:r>
      <w:r>
        <w:rPr>
          <w:rFonts w:hint="eastAsia"/>
        </w:rPr>
        <w:t>届</w:t>
      </w:r>
      <w:r>
        <w:t>毕业生</w:t>
      </w:r>
      <w:r>
        <w:rPr>
          <w:rFonts w:hint="eastAsia"/>
        </w:rPr>
        <w:t>就业质量调研分析</w:t>
      </w:r>
      <w:bookmarkEnd w:id="38"/>
      <w:bookmarkEnd w:id="39"/>
    </w:p>
    <w:p>
      <w:pPr>
        <w:pStyle w:val="21"/>
        <w:ind w:firstLine="480"/>
      </w:pPr>
      <w:r>
        <w:rPr>
          <w:rFonts w:hint="eastAsia"/>
        </w:rPr>
        <w:t>本次毕业生调查共回收有效</w:t>
      </w:r>
      <w:r>
        <w:t>问卷2723份</w:t>
      </w:r>
      <w:r>
        <w:rPr>
          <w:rFonts w:hint="eastAsia"/>
        </w:rPr>
        <w:t>，经清洗后剩余2666份，有效</w:t>
      </w:r>
      <w:r>
        <w:t>问卷</w:t>
      </w:r>
      <w:r>
        <w:rPr>
          <w:rFonts w:hint="eastAsia"/>
        </w:rPr>
        <w:t>回收</w:t>
      </w:r>
      <w:r>
        <w:t>率为79.13</w:t>
      </w:r>
      <w:r>
        <w:rPr>
          <w:rFonts w:hint="eastAsia"/>
        </w:rPr>
        <w:t>%。其中已落实就业单位（不含毕业实习、见习、应征入伍等）</w:t>
      </w:r>
      <w:r>
        <w:t>2208</w:t>
      </w:r>
      <w:r>
        <w:rPr>
          <w:rFonts w:hint="eastAsia"/>
        </w:rPr>
        <w:t>份，正在找工作或毕业实习、见习中</w:t>
      </w:r>
      <w:r>
        <w:t>126</w:t>
      </w:r>
      <w:r>
        <w:rPr>
          <w:rFonts w:hint="eastAsia"/>
        </w:rPr>
        <w:t>份，自由职业</w:t>
      </w:r>
      <w:r>
        <w:t>136</w:t>
      </w:r>
      <w:r>
        <w:rPr>
          <w:rFonts w:hint="eastAsia"/>
        </w:rPr>
        <w:t>份，其他</w:t>
      </w:r>
      <w:r>
        <w:t>123</w:t>
      </w:r>
      <w:r>
        <w:rPr>
          <w:rFonts w:hint="eastAsia"/>
        </w:rPr>
        <w:t>份，自主创业</w:t>
      </w:r>
      <w:r>
        <w:t>39</w:t>
      </w:r>
      <w:r>
        <w:rPr>
          <w:rFonts w:hint="eastAsia"/>
        </w:rPr>
        <w:t>份，继续深造与出国</w:t>
      </w:r>
      <w:r>
        <w:t>34</w:t>
      </w:r>
      <w:r>
        <w:rPr>
          <w:rFonts w:hint="eastAsia"/>
        </w:rPr>
        <w:t>份。</w:t>
      </w:r>
    </w:p>
    <w:p>
      <w:pPr>
        <w:pStyle w:val="19"/>
        <w:spacing w:before="156" w:after="156"/>
      </w:pPr>
      <w:bookmarkStart w:id="40" w:name="_Toc503183033"/>
      <w:bookmarkStart w:id="41" w:name="_Toc501043971"/>
      <w:r>
        <w:rPr>
          <w:rFonts w:hint="eastAsia"/>
        </w:rPr>
        <w:t>一、2017届毕业生就业状况</w:t>
      </w:r>
      <w:r>
        <w:t>满意度</w:t>
      </w:r>
      <w:bookmarkEnd w:id="40"/>
      <w:bookmarkEnd w:id="41"/>
    </w:p>
    <w:p>
      <w:pPr>
        <w:pStyle w:val="21"/>
        <w:ind w:firstLine="480"/>
      </w:pPr>
      <w:r>
        <w:rPr>
          <w:rFonts w:hint="eastAsia"/>
        </w:rPr>
        <w:t>总体来看，学院毕业生对就业状况满意度较高，为</w:t>
      </w:r>
      <w:r>
        <w:t>98.01%</w:t>
      </w:r>
      <w:r>
        <w:rPr>
          <w:rFonts w:hint="eastAsia"/>
        </w:rPr>
        <w:t>。分性别来看，男性毕业生就业状况满意度要高于女性，高</w:t>
      </w:r>
      <w:r>
        <w:t>1.44</w:t>
      </w:r>
      <w:r>
        <w:rPr>
          <w:rFonts w:hint="eastAsia"/>
        </w:rPr>
        <w:t>个百分点。其中男性为</w:t>
      </w:r>
      <w:r>
        <w:t>98.91%</w:t>
      </w:r>
      <w:r>
        <w:rPr>
          <w:rFonts w:hint="eastAsia"/>
        </w:rPr>
        <w:t>，</w:t>
      </w:r>
      <w:r>
        <w:t>女性为97.47%</w:t>
      </w:r>
      <w:r>
        <w:rPr>
          <w:rFonts w:hint="eastAsia"/>
        </w:rPr>
        <w:t>。</w:t>
      </w:r>
    </w:p>
    <w:p>
      <w:pPr>
        <w:jc w:val="center"/>
      </w:pPr>
      <w:r>
        <w:drawing>
          <wp:inline distT="0" distB="0" distL="0" distR="0">
            <wp:extent cx="4895850" cy="2743200"/>
            <wp:effectExtent l="0" t="0" r="0" b="0"/>
            <wp:docPr id="223" name="图表 2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1</w:t>
      </w:r>
      <w:r>
        <w:fldChar w:fldCharType="end"/>
      </w:r>
      <w:r>
        <w:t xml:space="preserve"> 2017</w:t>
      </w:r>
      <w:r>
        <w:rPr>
          <w:rFonts w:hint="eastAsia"/>
        </w:rPr>
        <w:t>届毕业生就业状况满意度</w:t>
      </w:r>
    </w:p>
    <w:p>
      <w:pPr>
        <w:jc w:val="left"/>
        <w:rPr>
          <w:rFonts w:asciiTheme="minorEastAsia" w:hAnsiTheme="minorEastAsia"/>
          <w:sz w:val="18"/>
        </w:rPr>
      </w:pPr>
      <w:r>
        <w:rPr>
          <w:rFonts w:asciiTheme="minorEastAsia" w:hAnsiTheme="minorEastAsia"/>
          <w:sz w:val="18"/>
        </w:rPr>
        <w:t>备注</w:t>
      </w:r>
      <w:r>
        <w:rPr>
          <w:rFonts w:hint="eastAsia" w:asciiTheme="minorEastAsia" w:hAnsiTheme="minorEastAsia"/>
          <w:sz w:val="18"/>
        </w:rPr>
        <w:t>：</w:t>
      </w:r>
      <w:r>
        <w:rPr>
          <w:rFonts w:asciiTheme="minorEastAsia" w:hAnsiTheme="minorEastAsia"/>
          <w:sz w:val="18"/>
        </w:rPr>
        <w:t>满意度</w:t>
      </w:r>
      <w:r>
        <w:rPr>
          <w:rFonts w:hint="eastAsia" w:asciiTheme="minorEastAsia" w:hAnsiTheme="minorEastAsia"/>
          <w:sz w:val="18"/>
        </w:rPr>
        <w:t>=</w:t>
      </w:r>
      <w:r>
        <w:rPr>
          <w:rFonts w:asciiTheme="minorEastAsia" w:hAnsiTheme="minorEastAsia"/>
          <w:sz w:val="18"/>
        </w:rPr>
        <w:t>非常满意</w:t>
      </w:r>
      <w:r>
        <w:rPr>
          <w:rFonts w:hint="eastAsia" w:asciiTheme="minorEastAsia" w:hAnsiTheme="minorEastAsia"/>
          <w:sz w:val="18"/>
        </w:rPr>
        <w:t>+</w:t>
      </w:r>
      <w:r>
        <w:rPr>
          <w:rFonts w:asciiTheme="minorEastAsia" w:hAnsiTheme="minorEastAsia"/>
          <w:sz w:val="18"/>
        </w:rPr>
        <w:t>满意</w:t>
      </w:r>
      <w:r>
        <w:rPr>
          <w:rFonts w:hint="eastAsia" w:asciiTheme="minorEastAsia" w:hAnsiTheme="minorEastAsia"/>
          <w:sz w:val="18"/>
        </w:rPr>
        <w:t>+</w:t>
      </w:r>
      <w:r>
        <w:rPr>
          <w:rFonts w:asciiTheme="minorEastAsia" w:hAnsiTheme="minorEastAsia"/>
          <w:sz w:val="18"/>
        </w:rPr>
        <w:t>比较满意</w:t>
      </w:r>
      <w:r>
        <w:rPr>
          <w:rFonts w:hint="eastAsia" w:asciiTheme="minorEastAsia" w:hAnsiTheme="minorEastAsia"/>
          <w:sz w:val="18"/>
        </w:rPr>
        <w:t>。</w:t>
      </w:r>
    </w:p>
    <w:p>
      <w:pPr>
        <w:pStyle w:val="19"/>
        <w:spacing w:before="156" w:after="156"/>
      </w:pPr>
      <w:bookmarkStart w:id="42" w:name="_Toc503183034"/>
      <w:r>
        <w:rPr>
          <w:rFonts w:hint="eastAsia"/>
        </w:rPr>
        <w:t>二、2017届毕业生求职途径</w:t>
      </w:r>
      <w:bookmarkEnd w:id="42"/>
    </w:p>
    <w:p>
      <w:pPr>
        <w:pStyle w:val="21"/>
        <w:ind w:firstLine="480"/>
      </w:pPr>
      <w:r>
        <w:rPr>
          <w:rFonts w:hint="eastAsia"/>
        </w:rPr>
        <w:t>调研数据显示，毕业生主要通过自己联系应聘（</w:t>
      </w:r>
      <w:r>
        <w:t>39.63</w:t>
      </w:r>
      <w:r>
        <w:rPr>
          <w:rFonts w:hint="eastAsia"/>
        </w:rPr>
        <w:t>%）、母校推荐（</w:t>
      </w:r>
      <w:r>
        <w:t>36.78</w:t>
      </w:r>
      <w:r>
        <w:rPr>
          <w:rFonts w:hint="eastAsia"/>
        </w:rPr>
        <w:t>%）等方式获得当前工作。此外还有部分毕业生通过亲友推荐、社会中介推荐、政府人才招聘会等方式获得当前工作。</w:t>
      </w:r>
    </w:p>
    <w:p>
      <w:pPr>
        <w:jc w:val="center"/>
      </w:pPr>
      <w:r>
        <w:drawing>
          <wp:inline distT="0" distB="0" distL="0" distR="0">
            <wp:extent cx="4572000" cy="2743200"/>
            <wp:effectExtent l="0" t="0" r="0" b="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2</w:t>
      </w:r>
      <w:r>
        <w:fldChar w:fldCharType="end"/>
      </w:r>
      <w:r>
        <w:t xml:space="preserve"> 2017</w:t>
      </w:r>
      <w:r>
        <w:rPr>
          <w:rFonts w:hint="eastAsia"/>
        </w:rPr>
        <w:t>届毕业生求职途径</w:t>
      </w:r>
    </w:p>
    <w:p>
      <w:pPr>
        <w:pStyle w:val="19"/>
        <w:spacing w:before="156" w:after="156"/>
      </w:pPr>
      <w:bookmarkStart w:id="43" w:name="_Toc503183035"/>
      <w:r>
        <w:rPr>
          <w:rFonts w:hint="eastAsia"/>
        </w:rPr>
        <w:t>三、2017届毕业生求职影响因素</w:t>
      </w:r>
      <w:bookmarkEnd w:id="43"/>
    </w:p>
    <w:p>
      <w:pPr>
        <w:pStyle w:val="21"/>
        <w:ind w:firstLine="480"/>
      </w:pPr>
      <w:r>
        <w:rPr>
          <w:rFonts w:hint="eastAsia"/>
        </w:rPr>
        <w:t>调研数据显示，2017届毕业生认为影响就业因素排名前三的分别是实践/工作经验（18.74%）、专业技能（17.09%）、学历（17.00%）；而认为母校声誉、社会关系等帮助作用不是很大。因此学校应进一步强化社会实践教学，提高学生综合素质和实践能力。</w:t>
      </w:r>
    </w:p>
    <w:p>
      <w:pPr>
        <w:jc w:val="center"/>
      </w:pPr>
      <w:r>
        <w:drawing>
          <wp:inline distT="0" distB="0" distL="0" distR="0">
            <wp:extent cx="4572000" cy="2743200"/>
            <wp:effectExtent l="0" t="0" r="0"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3</w:t>
      </w:r>
      <w:r>
        <w:fldChar w:fldCharType="end"/>
      </w:r>
      <w:r>
        <w:t xml:space="preserve"> 2017</w:t>
      </w:r>
      <w:r>
        <w:rPr>
          <w:rFonts w:hint="eastAsia"/>
        </w:rPr>
        <w:t>届毕业生求职影响因素</w:t>
      </w:r>
    </w:p>
    <w:p>
      <w:pPr>
        <w:pStyle w:val="23"/>
      </w:pPr>
    </w:p>
    <w:p>
      <w:pPr>
        <w:pStyle w:val="23"/>
      </w:pPr>
    </w:p>
    <w:p>
      <w:pPr>
        <w:pStyle w:val="23"/>
      </w:pPr>
    </w:p>
    <w:p>
      <w:pPr>
        <w:pStyle w:val="19"/>
        <w:spacing w:before="156" w:after="156"/>
      </w:pPr>
      <w:bookmarkStart w:id="44" w:name="_Toc501043964"/>
      <w:bookmarkStart w:id="45" w:name="_Toc503183036"/>
      <w:r>
        <w:rPr>
          <w:rFonts w:hint="eastAsia"/>
        </w:rPr>
        <w:t>四</w:t>
      </w:r>
      <w:r>
        <w:t>、2017</w:t>
      </w:r>
      <w:r>
        <w:rPr>
          <w:rFonts w:hint="eastAsia"/>
        </w:rPr>
        <w:t>届毕业生薪资水平</w:t>
      </w:r>
      <w:bookmarkEnd w:id="44"/>
      <w:r>
        <w:rPr>
          <w:rFonts w:hint="eastAsia"/>
        </w:rPr>
        <w:t>及满意度</w:t>
      </w:r>
      <w:bookmarkEnd w:id="45"/>
    </w:p>
    <w:p>
      <w:pPr>
        <w:pStyle w:val="29"/>
        <w:spacing w:before="156" w:after="156"/>
      </w:pPr>
      <w:bookmarkStart w:id="46" w:name="_Toc503183037"/>
      <w:r>
        <w:rPr>
          <w:rFonts w:hint="eastAsia"/>
        </w:rPr>
        <w:t>（一）总体薪资水平及满意度</w:t>
      </w:r>
      <w:bookmarkEnd w:id="46"/>
    </w:p>
    <w:p>
      <w:pPr>
        <w:pStyle w:val="21"/>
        <w:ind w:firstLine="480"/>
      </w:pPr>
      <w:r>
        <w:rPr>
          <w:rFonts w:hint="eastAsia"/>
        </w:rPr>
        <w:t>总体来看，毕业生薪资水平主要集中在2001-</w:t>
      </w:r>
      <w:r>
        <w:t>3000元</w:t>
      </w:r>
      <w:r>
        <w:rPr>
          <w:rFonts w:hint="eastAsia"/>
        </w:rPr>
        <w:t>、3</w:t>
      </w:r>
      <w:r>
        <w:t>001</w:t>
      </w:r>
      <w:r>
        <w:rPr>
          <w:rFonts w:hint="eastAsia"/>
        </w:rPr>
        <w:t>-</w:t>
      </w:r>
      <w:r>
        <w:t>4000元之间</w:t>
      </w:r>
      <w:r>
        <w:rPr>
          <w:rFonts w:hint="eastAsia"/>
        </w:rPr>
        <w:t>，</w:t>
      </w:r>
      <w:r>
        <w:t>占比分别是</w:t>
      </w:r>
      <w:r>
        <w:rPr>
          <w:rFonts w:hint="eastAsia"/>
        </w:rPr>
        <w:t>38.68%、3</w:t>
      </w:r>
      <w:r>
        <w:t>2.88</w:t>
      </w:r>
      <w:r>
        <w:rPr>
          <w:rFonts w:hint="eastAsia"/>
        </w:rPr>
        <w:t>%；月平均薪资为3053元；薪资满意度为77.85%。分性别来看，男性毕业生月平均薪资和薪资满意度要远远高于女性。其中男性月平均薪资为3462元，薪资满意度为90.69%；女性月平均薪资为2797元，薪资满意度为69.83%。</w:t>
      </w:r>
    </w:p>
    <w:p>
      <w:pPr>
        <w:jc w:val="center"/>
      </w:pPr>
      <w:r>
        <w:drawing>
          <wp:inline distT="0" distB="0" distL="0" distR="0">
            <wp:extent cx="4572000" cy="2743200"/>
            <wp:effectExtent l="0" t="0" r="0" b="0"/>
            <wp:docPr id="192" name="图表 19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4</w:t>
      </w:r>
      <w:r>
        <w:fldChar w:fldCharType="end"/>
      </w:r>
      <w:r>
        <w:t xml:space="preserve"> 2017</w:t>
      </w:r>
      <w:r>
        <w:rPr>
          <w:rFonts w:hint="eastAsia"/>
        </w:rPr>
        <w:t>届</w:t>
      </w:r>
      <w:r>
        <w:t>毕业生总体薪资水平</w:t>
      </w:r>
    </w:p>
    <w:p>
      <w:pPr>
        <w:jc w:val="center"/>
      </w:pPr>
      <w:r>
        <w:drawing>
          <wp:inline distT="0" distB="0" distL="0" distR="0">
            <wp:extent cx="4572000" cy="2743200"/>
            <wp:effectExtent l="0" t="0" r="0" b="0"/>
            <wp:docPr id="193" name="图表 19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5</w:t>
      </w:r>
      <w:r>
        <w:fldChar w:fldCharType="end"/>
      </w:r>
      <w:r>
        <w:t xml:space="preserve"> 2017</w:t>
      </w:r>
      <w:r>
        <w:rPr>
          <w:rFonts w:hint="eastAsia"/>
        </w:rPr>
        <w:t>届</w:t>
      </w:r>
      <w:r>
        <w:t>毕业生平均薪资及满意度</w:t>
      </w:r>
    </w:p>
    <w:p>
      <w:pPr>
        <w:pStyle w:val="29"/>
        <w:spacing w:before="156" w:after="156"/>
      </w:pPr>
      <w:bookmarkStart w:id="47" w:name="_Toc503183038"/>
      <w:r>
        <w:rPr>
          <w:rFonts w:hint="eastAsia"/>
        </w:rPr>
        <w:t>（二）分专业薪资水平及满意度</w:t>
      </w:r>
      <w:bookmarkEnd w:id="47"/>
    </w:p>
    <w:p>
      <w:pPr>
        <w:pStyle w:val="21"/>
        <w:ind w:firstLine="480"/>
      </w:pPr>
      <w:r>
        <w:t>从薪资满意度来看</w:t>
      </w:r>
      <w:r>
        <w:rPr>
          <w:rFonts w:hint="eastAsia"/>
        </w:rPr>
        <w:t>，有1</w:t>
      </w:r>
      <w:r>
        <w:t>3</w:t>
      </w:r>
      <w:r>
        <w:rPr>
          <w:rFonts w:hint="eastAsia"/>
        </w:rPr>
        <w:t>个专业毕业生薪资满意度高于总体（</w:t>
      </w:r>
      <w:r>
        <w:t>77.85%</w:t>
      </w:r>
      <w:r>
        <w:rPr>
          <w:rFonts w:hint="eastAsia"/>
        </w:rPr>
        <w:t>）；而会计专业毕业生薪资满意度较低，仅为</w:t>
      </w:r>
      <w:r>
        <w:t>57.50%</w:t>
      </w:r>
      <w:r>
        <w:rPr>
          <w:rFonts w:hint="eastAsia"/>
        </w:rPr>
        <w:t>。</w:t>
      </w:r>
      <w:r>
        <w:t>从薪资水平来看</w:t>
      </w:r>
      <w:r>
        <w:rPr>
          <w:rFonts w:hint="eastAsia"/>
        </w:rPr>
        <w:t>，除临床医学、护理、学前教育专业外，其余专业毕业生薪资水平均高于总体（</w:t>
      </w:r>
      <w:r>
        <w:t>3053元</w:t>
      </w:r>
      <w:r>
        <w:rPr>
          <w:rFonts w:hint="eastAsia"/>
        </w:rPr>
        <w:t>）。</w:t>
      </w:r>
    </w:p>
    <w:p>
      <w:pPr>
        <w:pStyle w:val="23"/>
      </w:pPr>
      <w:r>
        <w:rPr>
          <w:rFonts w:hint="eastAsia"/>
        </w:rPr>
        <w:t>表3-</w:t>
      </w:r>
      <w:r>
        <w:fldChar w:fldCharType="begin"/>
      </w:r>
      <w:r>
        <w:rPr>
          <w:rFonts w:hint="eastAsia"/>
        </w:rPr>
        <w:instrText xml:space="preserve">SEQ 表3- \* ARABIC</w:instrText>
      </w:r>
      <w:r>
        <w:fldChar w:fldCharType="separate"/>
      </w:r>
      <w:r>
        <w:t>1</w:t>
      </w:r>
      <w:r>
        <w:fldChar w:fldCharType="end"/>
      </w:r>
      <w:r>
        <w:t xml:space="preserve"> 2017</w:t>
      </w:r>
      <w:r>
        <w:rPr>
          <w:rFonts w:hint="eastAsia"/>
        </w:rPr>
        <w:t>届分专业毕业生薪资满意度</w:t>
      </w:r>
    </w:p>
    <w:p>
      <w:pPr>
        <w:pStyle w:val="23"/>
        <w:jc w:val="right"/>
      </w:pPr>
      <w:r>
        <w:rPr>
          <w:rFonts w:hint="eastAsia"/>
        </w:rPr>
        <w:t>单位</w:t>
      </w:r>
      <w:r>
        <w:t>：（</w:t>
      </w:r>
      <w:r>
        <w:rPr>
          <w:rFonts w:hint="eastAsia"/>
        </w:rPr>
        <w:t>%</w:t>
      </w:r>
      <w: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2197"/>
        <w:gridCol w:w="1050"/>
        <w:gridCol w:w="1050"/>
        <w:gridCol w:w="1050"/>
        <w:gridCol w:w="1050"/>
        <w:gridCol w:w="1050"/>
        <w:gridCol w:w="1075"/>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blHeader/>
        </w:trPr>
        <w:tc>
          <w:tcPr>
            <w:tcW w:w="2197"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Calibri" w:asciiTheme="majorEastAsia" w:hAnsiTheme="majorEastAsia" w:eastAsiaTheme="majorEastAsia"/>
                <w:b/>
                <w:bCs/>
                <w:color w:val="FFFFFF" w:themeColor="background1"/>
                <w:kern w:val="0"/>
                <w:sz w:val="18"/>
                <w:szCs w:val="18"/>
              </w:rPr>
            </w:pPr>
            <w:r>
              <w:rPr>
                <w:rFonts w:cs="Calibri" w:asciiTheme="majorEastAsia" w:hAnsiTheme="majorEastAsia" w:eastAsiaTheme="majorEastAsia"/>
                <w:b/>
                <w:bCs/>
                <w:color w:val="FFFFFF" w:themeColor="background1"/>
                <w:kern w:val="0"/>
                <w:sz w:val="18"/>
                <w:szCs w:val="18"/>
              </w:rPr>
              <w:t>专业</w:t>
            </w:r>
          </w:p>
        </w:tc>
        <w:tc>
          <w:tcPr>
            <w:tcW w:w="105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Calibri" w:asciiTheme="majorEastAsia" w:hAnsiTheme="majorEastAsia" w:eastAsiaTheme="majorEastAsia"/>
                <w:b/>
                <w:bCs/>
                <w:color w:val="FFFFFF" w:themeColor="background1"/>
                <w:kern w:val="0"/>
                <w:sz w:val="18"/>
                <w:szCs w:val="18"/>
              </w:rPr>
            </w:pPr>
            <w:r>
              <w:rPr>
                <w:rFonts w:cs="Calibri" w:asciiTheme="majorEastAsia" w:hAnsiTheme="majorEastAsia" w:eastAsiaTheme="majorEastAsia"/>
                <w:b/>
                <w:bCs/>
                <w:color w:val="FFFFFF" w:themeColor="background1"/>
                <w:kern w:val="0"/>
                <w:sz w:val="18"/>
                <w:szCs w:val="18"/>
              </w:rPr>
              <w:t>非常满意</w:t>
            </w:r>
          </w:p>
        </w:tc>
        <w:tc>
          <w:tcPr>
            <w:tcW w:w="105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Calibri" w:asciiTheme="majorEastAsia" w:hAnsiTheme="majorEastAsia" w:eastAsiaTheme="majorEastAsia"/>
                <w:b/>
                <w:bCs/>
                <w:color w:val="FFFFFF" w:themeColor="background1"/>
                <w:kern w:val="0"/>
                <w:sz w:val="18"/>
                <w:szCs w:val="18"/>
              </w:rPr>
            </w:pPr>
            <w:r>
              <w:rPr>
                <w:rFonts w:cs="Calibri" w:asciiTheme="majorEastAsia" w:hAnsiTheme="majorEastAsia" w:eastAsiaTheme="majorEastAsia"/>
                <w:b/>
                <w:bCs/>
                <w:color w:val="FFFFFF" w:themeColor="background1"/>
                <w:kern w:val="0"/>
                <w:sz w:val="18"/>
                <w:szCs w:val="18"/>
              </w:rPr>
              <w:t>满意</w:t>
            </w:r>
          </w:p>
        </w:tc>
        <w:tc>
          <w:tcPr>
            <w:tcW w:w="105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Calibri" w:asciiTheme="majorEastAsia" w:hAnsiTheme="majorEastAsia" w:eastAsiaTheme="majorEastAsia"/>
                <w:b/>
                <w:bCs/>
                <w:color w:val="FFFFFF" w:themeColor="background1"/>
                <w:kern w:val="0"/>
                <w:sz w:val="18"/>
                <w:szCs w:val="18"/>
              </w:rPr>
            </w:pPr>
            <w:r>
              <w:rPr>
                <w:rFonts w:cs="Calibri" w:asciiTheme="majorEastAsia" w:hAnsiTheme="majorEastAsia" w:eastAsiaTheme="majorEastAsia"/>
                <w:b/>
                <w:bCs/>
                <w:color w:val="FFFFFF" w:themeColor="background1"/>
                <w:kern w:val="0"/>
                <w:sz w:val="18"/>
                <w:szCs w:val="18"/>
              </w:rPr>
              <w:t>比较满意</w:t>
            </w:r>
          </w:p>
        </w:tc>
        <w:tc>
          <w:tcPr>
            <w:tcW w:w="105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Calibri" w:asciiTheme="majorEastAsia" w:hAnsiTheme="majorEastAsia" w:eastAsiaTheme="majorEastAsia"/>
                <w:b/>
                <w:bCs/>
                <w:color w:val="FFFFFF" w:themeColor="background1"/>
                <w:kern w:val="0"/>
                <w:sz w:val="18"/>
                <w:szCs w:val="18"/>
              </w:rPr>
            </w:pPr>
            <w:r>
              <w:rPr>
                <w:rFonts w:cs="Calibri" w:asciiTheme="majorEastAsia" w:hAnsiTheme="majorEastAsia" w:eastAsiaTheme="majorEastAsia"/>
                <w:b/>
                <w:bCs/>
                <w:color w:val="FFFFFF" w:themeColor="background1"/>
                <w:kern w:val="0"/>
                <w:sz w:val="18"/>
                <w:szCs w:val="18"/>
              </w:rPr>
              <w:t>不太满意</w:t>
            </w:r>
          </w:p>
        </w:tc>
        <w:tc>
          <w:tcPr>
            <w:tcW w:w="1050"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Calibri" w:asciiTheme="majorEastAsia" w:hAnsiTheme="majorEastAsia" w:eastAsiaTheme="majorEastAsia"/>
                <w:b/>
                <w:bCs/>
                <w:color w:val="FFFFFF" w:themeColor="background1"/>
                <w:kern w:val="0"/>
                <w:sz w:val="18"/>
                <w:szCs w:val="18"/>
              </w:rPr>
            </w:pPr>
            <w:r>
              <w:rPr>
                <w:rFonts w:cs="Calibri" w:asciiTheme="majorEastAsia" w:hAnsiTheme="majorEastAsia" w:eastAsiaTheme="majorEastAsia"/>
                <w:b/>
                <w:bCs/>
                <w:color w:val="FFFFFF" w:themeColor="background1"/>
                <w:kern w:val="0"/>
                <w:sz w:val="18"/>
                <w:szCs w:val="18"/>
              </w:rPr>
              <w:t>很不满意</w:t>
            </w:r>
          </w:p>
        </w:tc>
        <w:tc>
          <w:tcPr>
            <w:tcW w:w="1075"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Calibri" w:asciiTheme="majorEastAsia" w:hAnsiTheme="majorEastAsia" w:eastAsiaTheme="majorEastAsia"/>
                <w:b/>
                <w:bCs/>
                <w:color w:val="FFFFFF" w:themeColor="background1"/>
                <w:kern w:val="0"/>
                <w:sz w:val="18"/>
                <w:szCs w:val="18"/>
              </w:rPr>
            </w:pPr>
            <w:r>
              <w:rPr>
                <w:rFonts w:hint="eastAsia" w:cs="Calibri" w:asciiTheme="majorEastAsia" w:hAnsiTheme="majorEastAsia" w:eastAsiaTheme="majorEastAsia"/>
                <w:b/>
                <w:bCs/>
                <w:color w:val="FFFFFF" w:themeColor="background1"/>
                <w:kern w:val="0"/>
                <w:sz w:val="18"/>
                <w:szCs w:val="18"/>
              </w:rPr>
              <w:t>满意度</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shd w:val="clear" w:color="auto" w:fill="DEEAF6" w:themeFill="accent1" w:themeFillTint="33"/>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机电一体化技术</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2.27</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84.85</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12.88</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汽车检测与维修技术</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1.98</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70.30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27.72</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shd w:val="clear" w:color="auto" w:fill="DEEAF6" w:themeFill="accent1" w:themeFillTint="33"/>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楼宇智能化工程技术</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12.35</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81.48</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6.17</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计算机网络技术</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24.44</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62.22</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13.33</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shd w:val="clear" w:color="auto" w:fill="DEEAF6" w:themeFill="accent1" w:themeFillTint="33"/>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嵌入式技术与应用</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21.62</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56.76</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21.62</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模具设计与制造</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5.88</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64.71</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29.41</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shd w:val="clear" w:color="auto" w:fill="DEEAF6" w:themeFill="accent1" w:themeFillTint="33"/>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装潢艺术设计</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29.41</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64.71</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5.88</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数控技术</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10.00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60.00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30.00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shd w:val="clear" w:color="auto" w:fill="DEEAF6" w:themeFill="accent1" w:themeFillTint="33"/>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应用电子技术</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3.39</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78.81</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16.95</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0.85</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99.15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建筑工程技术</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67.35</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14.29</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10.20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6.12</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2.04</w:t>
            </w:r>
          </w:p>
        </w:tc>
        <w:tc>
          <w:tcPr>
            <w:tcW w:w="1075"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91.84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shd w:val="clear" w:color="auto" w:fill="DEEAF6" w:themeFill="accent1" w:themeFillTint="33"/>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软件开发与项目管理</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9.52</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38.10</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42.86</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9.52</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90.48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物流管理</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42.86</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38.10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4.76</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14.29</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0.00</w:t>
            </w:r>
          </w:p>
        </w:tc>
        <w:tc>
          <w:tcPr>
            <w:tcW w:w="1075"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85.71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shd w:val="clear" w:color="auto" w:fill="DEEAF6" w:themeFill="accent1" w:themeFillTint="33"/>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临床医学</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7.62</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35.35</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38.28</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15.43</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3.32</w:t>
            </w:r>
          </w:p>
        </w:tc>
        <w:tc>
          <w:tcPr>
            <w:tcW w:w="1075"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81.25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学前教育</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10.78</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31.47</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28.45</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27.59</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1.72</w:t>
            </w:r>
          </w:p>
        </w:tc>
        <w:tc>
          <w:tcPr>
            <w:tcW w:w="1075"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70.69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shd w:val="clear" w:color="auto" w:fill="DEEAF6" w:themeFill="accent1" w:themeFillTint="33"/>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酒店管理</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3.13</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21.88</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37.50</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28.13</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9.38</w:t>
            </w:r>
          </w:p>
        </w:tc>
        <w:tc>
          <w:tcPr>
            <w:tcW w:w="1075"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62.50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康复治疗技术</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12.07</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17.24</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31.03</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36.21</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3.45</w:t>
            </w:r>
          </w:p>
        </w:tc>
        <w:tc>
          <w:tcPr>
            <w:tcW w:w="1075"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60.34</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shd w:val="clear" w:color="auto" w:fill="DEEAF6" w:themeFill="accent1" w:themeFillTint="33"/>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护理</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4.39</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15.52</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40.28</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33.23</w:t>
            </w:r>
          </w:p>
        </w:tc>
        <w:tc>
          <w:tcPr>
            <w:tcW w:w="1050"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6.58</w:t>
            </w:r>
          </w:p>
        </w:tc>
        <w:tc>
          <w:tcPr>
            <w:tcW w:w="1075" w:type="dxa"/>
            <w:shd w:val="clear" w:color="auto" w:fill="DEEAF6" w:themeFill="accent1" w:themeFillTint="33"/>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60.19</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300" w:hRule="atLeast"/>
        </w:trPr>
        <w:tc>
          <w:tcPr>
            <w:tcW w:w="2197" w:type="dxa"/>
            <w:vAlign w:val="center"/>
          </w:tcPr>
          <w:p>
            <w:pPr>
              <w:widowControl/>
              <w:jc w:val="center"/>
              <w:rPr>
                <w:rFonts w:cs="Calibri" w:asciiTheme="majorEastAsia" w:hAnsiTheme="majorEastAsia" w:eastAsiaTheme="majorEastAsia"/>
                <w:b w:val="0"/>
                <w:bCs/>
                <w:color w:val="000000"/>
                <w:kern w:val="0"/>
                <w:sz w:val="18"/>
                <w:szCs w:val="18"/>
              </w:rPr>
            </w:pPr>
            <w:r>
              <w:rPr>
                <w:rFonts w:cs="Calibri" w:asciiTheme="majorEastAsia" w:hAnsiTheme="majorEastAsia" w:eastAsiaTheme="majorEastAsia"/>
                <w:b w:val="0"/>
                <w:bCs/>
                <w:color w:val="000000"/>
                <w:kern w:val="0"/>
                <w:sz w:val="18"/>
                <w:szCs w:val="18"/>
              </w:rPr>
              <w:t>会计</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2.50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22.50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32.50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40.00</w:t>
            </w:r>
          </w:p>
        </w:tc>
        <w:tc>
          <w:tcPr>
            <w:tcW w:w="1050"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2.50</w:t>
            </w:r>
          </w:p>
        </w:tc>
        <w:tc>
          <w:tcPr>
            <w:tcW w:w="1075" w:type="dxa"/>
            <w:vAlign w:val="center"/>
          </w:tcPr>
          <w:p>
            <w:pPr>
              <w:widowControl/>
              <w:jc w:val="center"/>
              <w:rPr>
                <w:rFonts w:cs="Calibri" w:asciiTheme="majorEastAsia" w:hAnsiTheme="majorEastAsia" w:eastAsiaTheme="majorEastAsia"/>
                <w:color w:val="000000"/>
                <w:kern w:val="0"/>
                <w:sz w:val="18"/>
                <w:szCs w:val="18"/>
              </w:rPr>
            </w:pPr>
            <w:r>
              <w:rPr>
                <w:rFonts w:cs="Calibri" w:asciiTheme="majorEastAsia" w:hAnsiTheme="majorEastAsia" w:eastAsiaTheme="majorEastAsia"/>
                <w:color w:val="000000"/>
                <w:kern w:val="0"/>
                <w:sz w:val="18"/>
                <w:szCs w:val="18"/>
              </w:rPr>
              <w:t>57.50</w:t>
            </w:r>
          </w:p>
        </w:tc>
      </w:tr>
    </w:tbl>
    <w:p>
      <w:pPr>
        <w:rPr>
          <w:rFonts w:asciiTheme="minorEastAsia" w:hAnsiTheme="minorEastAsia"/>
          <w:sz w:val="18"/>
        </w:rPr>
      </w:pPr>
      <w:r>
        <w:rPr>
          <w:rFonts w:hint="eastAsia" w:asciiTheme="minorEastAsia" w:hAnsiTheme="minorEastAsia"/>
          <w:sz w:val="18"/>
        </w:rPr>
        <w:t>取样标准</w:t>
      </w:r>
      <w:r>
        <w:rPr>
          <w:rFonts w:asciiTheme="minorEastAsia" w:hAnsiTheme="minorEastAsia"/>
          <w:sz w:val="18"/>
        </w:rPr>
        <w:t>：</w:t>
      </w:r>
      <w:r>
        <w:rPr>
          <w:rFonts w:hint="eastAsia" w:asciiTheme="minorEastAsia" w:hAnsiTheme="minorEastAsia"/>
          <w:sz w:val="18"/>
        </w:rPr>
        <w:t>样本</w:t>
      </w:r>
      <w:r>
        <w:rPr>
          <w:rFonts w:asciiTheme="minorEastAsia" w:hAnsiTheme="minorEastAsia"/>
          <w:sz w:val="18"/>
        </w:rPr>
        <w:t>量</w:t>
      </w:r>
      <w:r>
        <w:rPr>
          <w:rFonts w:hint="eastAsia" w:asciiTheme="minorEastAsia" w:hAnsiTheme="minorEastAsia"/>
          <w:sz w:val="18"/>
        </w:rPr>
        <w:t>≥10的</w:t>
      </w:r>
      <w:r>
        <w:rPr>
          <w:rFonts w:asciiTheme="minorEastAsia" w:hAnsiTheme="minorEastAsia"/>
          <w:sz w:val="18"/>
        </w:rPr>
        <w:t>专业。</w:t>
      </w:r>
    </w:p>
    <w:p>
      <w:pPr>
        <w:jc w:val="center"/>
      </w:pPr>
      <w:r>
        <w:drawing>
          <wp:inline distT="0" distB="0" distL="0" distR="0">
            <wp:extent cx="5153025" cy="3781425"/>
            <wp:effectExtent l="0" t="0" r="9525"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6</w:t>
      </w:r>
      <w:r>
        <w:fldChar w:fldCharType="end"/>
      </w:r>
      <w:r>
        <w:t xml:space="preserve"> 2017</w:t>
      </w:r>
      <w:r>
        <w:rPr>
          <w:rFonts w:hint="eastAsia"/>
        </w:rPr>
        <w:t>届分专业毕业生薪资水平</w:t>
      </w:r>
    </w:p>
    <w:p>
      <w:pPr>
        <w:rPr>
          <w:rFonts w:asciiTheme="minorEastAsia" w:hAnsiTheme="minorEastAsia"/>
          <w:sz w:val="18"/>
        </w:rPr>
      </w:pPr>
      <w:r>
        <w:rPr>
          <w:rFonts w:hint="eastAsia" w:asciiTheme="minorEastAsia" w:hAnsiTheme="minorEastAsia"/>
          <w:sz w:val="18"/>
        </w:rPr>
        <w:t>取样标准</w:t>
      </w:r>
      <w:r>
        <w:rPr>
          <w:rFonts w:asciiTheme="minorEastAsia" w:hAnsiTheme="minorEastAsia"/>
          <w:sz w:val="18"/>
        </w:rPr>
        <w:t>：</w:t>
      </w:r>
      <w:r>
        <w:rPr>
          <w:rFonts w:hint="eastAsia" w:asciiTheme="minorEastAsia" w:hAnsiTheme="minorEastAsia"/>
          <w:sz w:val="18"/>
        </w:rPr>
        <w:t>样本</w:t>
      </w:r>
      <w:r>
        <w:rPr>
          <w:rFonts w:asciiTheme="minorEastAsia" w:hAnsiTheme="minorEastAsia"/>
          <w:sz w:val="18"/>
        </w:rPr>
        <w:t>量</w:t>
      </w:r>
      <w:r>
        <w:rPr>
          <w:rFonts w:hint="eastAsia" w:asciiTheme="minorEastAsia" w:hAnsiTheme="minorEastAsia"/>
          <w:sz w:val="18"/>
        </w:rPr>
        <w:t>≥10的</w:t>
      </w:r>
      <w:r>
        <w:rPr>
          <w:rFonts w:asciiTheme="minorEastAsia" w:hAnsiTheme="minorEastAsia"/>
          <w:sz w:val="18"/>
        </w:rPr>
        <w:t>专业。</w:t>
      </w:r>
    </w:p>
    <w:p>
      <w:pPr>
        <w:pStyle w:val="19"/>
        <w:spacing w:before="156" w:after="156"/>
      </w:pPr>
      <w:bookmarkStart w:id="48" w:name="_Toc503183039"/>
      <w:bookmarkStart w:id="49" w:name="_Toc500409416"/>
      <w:r>
        <w:rPr>
          <w:rFonts w:hint="eastAsia"/>
        </w:rPr>
        <w:t>五</w:t>
      </w:r>
      <w:r>
        <w:t>、2017</w:t>
      </w:r>
      <w:r>
        <w:rPr>
          <w:rFonts w:hint="eastAsia"/>
        </w:rPr>
        <w:t>届毕业生工作与专业相关度</w:t>
      </w:r>
      <w:bookmarkEnd w:id="48"/>
      <w:bookmarkEnd w:id="49"/>
    </w:p>
    <w:p>
      <w:pPr>
        <w:pStyle w:val="29"/>
        <w:spacing w:before="156" w:after="156"/>
      </w:pPr>
      <w:bookmarkStart w:id="50" w:name="_Toc503183040"/>
      <w:r>
        <w:rPr>
          <w:rFonts w:hint="eastAsia"/>
        </w:rPr>
        <w:t>（一）毕业生总体工作与专业相关性</w:t>
      </w:r>
      <w:bookmarkEnd w:id="50"/>
    </w:p>
    <w:p>
      <w:pPr>
        <w:pStyle w:val="21"/>
        <w:ind w:firstLine="480"/>
      </w:pPr>
      <w:r>
        <w:t>总体来看</w:t>
      </w:r>
      <w:r>
        <w:rPr>
          <w:rFonts w:hint="eastAsia"/>
        </w:rPr>
        <w:t>，</w:t>
      </w:r>
      <w:r>
        <w:t>毕业生工作与专业相关度较高</w:t>
      </w:r>
      <w:r>
        <w:rPr>
          <w:rFonts w:hint="eastAsia"/>
        </w:rPr>
        <w:t>，</w:t>
      </w:r>
      <w:r>
        <w:t>为95.02%</w:t>
      </w:r>
      <w:r>
        <w:rPr>
          <w:rFonts w:hint="eastAsia"/>
        </w:rPr>
        <w:t>，</w:t>
      </w:r>
      <w:r>
        <w:t>说明大多数毕业生从事工作与所学专业比较紧密</w:t>
      </w:r>
      <w:r>
        <w:rPr>
          <w:rFonts w:hint="eastAsia"/>
        </w:rPr>
        <w:t>，</w:t>
      </w:r>
      <w:r>
        <w:t>能够学有所用</w:t>
      </w:r>
      <w:r>
        <w:rPr>
          <w:rFonts w:hint="eastAsia"/>
        </w:rPr>
        <w:t>。分性别来看，男性毕业生工作与专业相关度要高于女性。其中男性为</w:t>
      </w:r>
      <w:r>
        <w:t>97.64%</w:t>
      </w:r>
      <w:r>
        <w:rPr>
          <w:rFonts w:hint="eastAsia"/>
        </w:rPr>
        <w:t>，</w:t>
      </w:r>
      <w:r>
        <w:t>女性为93.37%</w:t>
      </w:r>
      <w:r>
        <w:rPr>
          <w:rFonts w:hint="eastAsia"/>
        </w:rPr>
        <w:t>。</w:t>
      </w:r>
    </w:p>
    <w:p>
      <w:pPr>
        <w:pStyle w:val="21"/>
        <w:ind w:firstLine="480"/>
      </w:pPr>
    </w:p>
    <w:p>
      <w:pPr>
        <w:jc w:val="center"/>
      </w:pPr>
      <w:r>
        <w:drawing>
          <wp:inline distT="0" distB="0" distL="0" distR="0">
            <wp:extent cx="4686300" cy="2409825"/>
            <wp:effectExtent l="0" t="0" r="0"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7</w:t>
      </w:r>
      <w:r>
        <w:fldChar w:fldCharType="end"/>
      </w:r>
      <w:r>
        <w:t xml:space="preserve"> 2017</w:t>
      </w:r>
      <w:r>
        <w:rPr>
          <w:rFonts w:hint="eastAsia"/>
        </w:rPr>
        <w:t>届毕业生工作与专业相关性</w:t>
      </w:r>
      <w:r>
        <w:rPr>
          <w:rFonts w:hint="eastAsia"/>
        </w:rPr>
        <w:tab/>
      </w:r>
    </w:p>
    <w:p>
      <w:pPr>
        <w:pStyle w:val="29"/>
        <w:spacing w:before="156" w:after="156"/>
      </w:pPr>
      <w:bookmarkStart w:id="51" w:name="_Toc503183041"/>
      <w:r>
        <w:rPr>
          <w:rFonts w:hint="eastAsia"/>
        </w:rPr>
        <w:t>（二）分专业毕业生工作与专业相关性</w:t>
      </w:r>
      <w:bookmarkEnd w:id="51"/>
    </w:p>
    <w:p>
      <w:pPr>
        <w:pStyle w:val="21"/>
        <w:ind w:firstLine="480"/>
      </w:pPr>
      <w:r>
        <w:rPr>
          <w:rFonts w:hint="eastAsia"/>
        </w:rPr>
        <w:t>分专业来看，所有专业毕业生工作与专业相关度在90.00%以上。其中，有8个专业毕业生工作与专业相关度为100.00%。</w:t>
      </w:r>
    </w:p>
    <w:p>
      <w:pPr>
        <w:pStyle w:val="23"/>
      </w:pPr>
      <w:r>
        <w:rPr>
          <w:rFonts w:hint="eastAsia"/>
        </w:rPr>
        <w:t>表3-</w:t>
      </w:r>
      <w:r>
        <w:fldChar w:fldCharType="begin"/>
      </w:r>
      <w:r>
        <w:rPr>
          <w:rFonts w:hint="eastAsia"/>
        </w:rPr>
        <w:instrText xml:space="preserve">SEQ 表3- \* ARABIC</w:instrText>
      </w:r>
      <w:r>
        <w:fldChar w:fldCharType="separate"/>
      </w:r>
      <w:r>
        <w:t>2</w:t>
      </w:r>
      <w:r>
        <w:fldChar w:fldCharType="end"/>
      </w:r>
      <w:r>
        <w:t xml:space="preserve"> 2017</w:t>
      </w:r>
      <w:r>
        <w:rPr>
          <w:rFonts w:hint="eastAsia"/>
        </w:rPr>
        <w:t>届分专业毕业生工作与专业相关性</w:t>
      </w:r>
    </w:p>
    <w:p>
      <w:pPr>
        <w:pStyle w:val="23"/>
        <w:jc w:val="right"/>
      </w:pPr>
      <w:r>
        <w:rPr>
          <w:rFonts w:hint="eastAsia"/>
        </w:rPr>
        <w:t>单位</w:t>
      </w:r>
      <w:r>
        <w:t>：（</w:t>
      </w:r>
      <w:r>
        <w:rPr>
          <w:rFonts w:hint="eastAsia"/>
        </w:rPr>
        <w:t>%</w:t>
      </w:r>
      <w: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895"/>
        <w:gridCol w:w="1059"/>
        <w:gridCol w:w="1058"/>
        <w:gridCol w:w="1058"/>
        <w:gridCol w:w="1336"/>
        <w:gridCol w:w="1058"/>
        <w:gridCol w:w="1058"/>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专业</w:t>
            </w:r>
          </w:p>
        </w:tc>
        <w:tc>
          <w:tcPr>
            <w:tcW w:w="1059"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非常相关</w:t>
            </w:r>
          </w:p>
        </w:tc>
        <w:tc>
          <w:tcPr>
            <w:tcW w:w="1058"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相关</w:t>
            </w:r>
          </w:p>
        </w:tc>
        <w:tc>
          <w:tcPr>
            <w:tcW w:w="1058"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比较相关</w:t>
            </w:r>
          </w:p>
        </w:tc>
        <w:tc>
          <w:tcPr>
            <w:tcW w:w="1336"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相关度比较小</w:t>
            </w:r>
          </w:p>
        </w:tc>
        <w:tc>
          <w:tcPr>
            <w:tcW w:w="1058"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很不相关</w:t>
            </w:r>
          </w:p>
        </w:tc>
        <w:tc>
          <w:tcPr>
            <w:tcW w:w="1058"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相关度</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机电一体化技术</w:t>
            </w:r>
          </w:p>
        </w:tc>
        <w:tc>
          <w:tcPr>
            <w:tcW w:w="105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2.27</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84.85</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12.88</w:t>
            </w:r>
          </w:p>
        </w:tc>
        <w:tc>
          <w:tcPr>
            <w:tcW w:w="13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应用电子技术</w:t>
            </w:r>
          </w:p>
        </w:tc>
        <w:tc>
          <w:tcPr>
            <w:tcW w:w="105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5.08</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74.58</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20.34</w:t>
            </w:r>
          </w:p>
        </w:tc>
        <w:tc>
          <w:tcPr>
            <w:tcW w:w="13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汽车检测与维修技术</w:t>
            </w:r>
          </w:p>
        </w:tc>
        <w:tc>
          <w:tcPr>
            <w:tcW w:w="105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3.96</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66.34</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29.70</w:t>
            </w:r>
          </w:p>
        </w:tc>
        <w:tc>
          <w:tcPr>
            <w:tcW w:w="13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计算机网络技术</w:t>
            </w:r>
          </w:p>
        </w:tc>
        <w:tc>
          <w:tcPr>
            <w:tcW w:w="105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17.78</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64.44</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17.78</w:t>
            </w:r>
          </w:p>
        </w:tc>
        <w:tc>
          <w:tcPr>
            <w:tcW w:w="13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嵌入式技术与应用</w:t>
            </w:r>
          </w:p>
        </w:tc>
        <w:tc>
          <w:tcPr>
            <w:tcW w:w="105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13.51</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54.05</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32.43</w:t>
            </w:r>
          </w:p>
        </w:tc>
        <w:tc>
          <w:tcPr>
            <w:tcW w:w="13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模具设计与制造</w:t>
            </w:r>
          </w:p>
        </w:tc>
        <w:tc>
          <w:tcPr>
            <w:tcW w:w="105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58.82</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41.18</w:t>
            </w:r>
          </w:p>
        </w:tc>
        <w:tc>
          <w:tcPr>
            <w:tcW w:w="13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装潢艺术设计</w:t>
            </w:r>
          </w:p>
        </w:tc>
        <w:tc>
          <w:tcPr>
            <w:tcW w:w="105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5.88</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82.35</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11.76</w:t>
            </w:r>
          </w:p>
        </w:tc>
        <w:tc>
          <w:tcPr>
            <w:tcW w:w="13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数控技术</w:t>
            </w:r>
          </w:p>
        </w:tc>
        <w:tc>
          <w:tcPr>
            <w:tcW w:w="105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20.00</w:t>
            </w:r>
          </w:p>
        </w:tc>
        <w:tc>
          <w:tcPr>
            <w:tcW w:w="13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楼宇智能化工程技术</w:t>
            </w:r>
          </w:p>
        </w:tc>
        <w:tc>
          <w:tcPr>
            <w:tcW w:w="105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13.58</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76.54</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8.64</w:t>
            </w:r>
          </w:p>
        </w:tc>
        <w:tc>
          <w:tcPr>
            <w:tcW w:w="13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1.23</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98.77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建筑工程技术</w:t>
            </w:r>
          </w:p>
        </w:tc>
        <w:tc>
          <w:tcPr>
            <w:tcW w:w="105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73.47</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20.41</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4.08</w:t>
            </w:r>
          </w:p>
        </w:tc>
        <w:tc>
          <w:tcPr>
            <w:tcW w:w="13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2.04</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97.96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临床医学</w:t>
            </w:r>
          </w:p>
        </w:tc>
        <w:tc>
          <w:tcPr>
            <w:tcW w:w="105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23.63</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56.64</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16.21</w:t>
            </w:r>
          </w:p>
        </w:tc>
        <w:tc>
          <w:tcPr>
            <w:tcW w:w="13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2.54</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0.98</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96.48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学前教育</w:t>
            </w:r>
          </w:p>
        </w:tc>
        <w:tc>
          <w:tcPr>
            <w:tcW w:w="105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39.22</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46.98</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9.05</w:t>
            </w:r>
          </w:p>
        </w:tc>
        <w:tc>
          <w:tcPr>
            <w:tcW w:w="13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3.45</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1.29</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95.26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康复治疗技术</w:t>
            </w:r>
          </w:p>
        </w:tc>
        <w:tc>
          <w:tcPr>
            <w:tcW w:w="105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50.00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31.03</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13.79</w:t>
            </w:r>
          </w:p>
        </w:tc>
        <w:tc>
          <w:tcPr>
            <w:tcW w:w="13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3.45</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1.72</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94.83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护理</w:t>
            </w:r>
          </w:p>
        </w:tc>
        <w:tc>
          <w:tcPr>
            <w:tcW w:w="105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31.97</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43.10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15.83</w:t>
            </w:r>
          </w:p>
        </w:tc>
        <w:tc>
          <w:tcPr>
            <w:tcW w:w="13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5.80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3.29</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90.91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酒店管理</w:t>
            </w:r>
          </w:p>
        </w:tc>
        <w:tc>
          <w:tcPr>
            <w:tcW w:w="105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34.38</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25.00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31.25</w:t>
            </w:r>
          </w:p>
        </w:tc>
        <w:tc>
          <w:tcPr>
            <w:tcW w:w="13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6.25</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3.12</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90.63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软件开发与项目管理</w:t>
            </w:r>
          </w:p>
        </w:tc>
        <w:tc>
          <w:tcPr>
            <w:tcW w:w="105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9.52</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52.38</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28.57</w:t>
            </w:r>
          </w:p>
        </w:tc>
        <w:tc>
          <w:tcPr>
            <w:tcW w:w="13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9.52</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90.48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物流管理</w:t>
            </w:r>
          </w:p>
        </w:tc>
        <w:tc>
          <w:tcPr>
            <w:tcW w:w="1059"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42.86</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38.10</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9.52</w:t>
            </w:r>
          </w:p>
        </w:tc>
        <w:tc>
          <w:tcPr>
            <w:tcW w:w="133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4.76</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4.76</w:t>
            </w:r>
          </w:p>
        </w:tc>
        <w:tc>
          <w:tcPr>
            <w:tcW w:w="1058"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90.48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会计</w:t>
            </w:r>
          </w:p>
        </w:tc>
        <w:tc>
          <w:tcPr>
            <w:tcW w:w="1059"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37.50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32.50</w:t>
            </w:r>
          </w:p>
        </w:tc>
        <w:tc>
          <w:tcPr>
            <w:tcW w:w="133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5.00</w:t>
            </w:r>
          </w:p>
        </w:tc>
        <w:tc>
          <w:tcPr>
            <w:tcW w:w="1058"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90.00</w:t>
            </w:r>
          </w:p>
        </w:tc>
      </w:tr>
    </w:tbl>
    <w:p>
      <w:pPr>
        <w:rPr>
          <w:rFonts w:asciiTheme="minorEastAsia" w:hAnsiTheme="minorEastAsia"/>
          <w:sz w:val="18"/>
        </w:rPr>
      </w:pPr>
      <w:r>
        <w:rPr>
          <w:rFonts w:hint="eastAsia" w:asciiTheme="minorEastAsia" w:hAnsiTheme="minorEastAsia"/>
          <w:sz w:val="18"/>
        </w:rPr>
        <w:t>取样标准</w:t>
      </w:r>
      <w:r>
        <w:rPr>
          <w:rFonts w:asciiTheme="minorEastAsia" w:hAnsiTheme="minorEastAsia"/>
          <w:sz w:val="18"/>
        </w:rPr>
        <w:t>：</w:t>
      </w:r>
      <w:r>
        <w:rPr>
          <w:rFonts w:hint="eastAsia" w:asciiTheme="minorEastAsia" w:hAnsiTheme="minorEastAsia"/>
          <w:sz w:val="18"/>
        </w:rPr>
        <w:t>样本</w:t>
      </w:r>
      <w:r>
        <w:rPr>
          <w:rFonts w:asciiTheme="minorEastAsia" w:hAnsiTheme="minorEastAsia"/>
          <w:sz w:val="18"/>
        </w:rPr>
        <w:t>量</w:t>
      </w:r>
      <w:r>
        <w:rPr>
          <w:rFonts w:hint="eastAsia" w:asciiTheme="minorEastAsia" w:hAnsiTheme="minorEastAsia"/>
          <w:sz w:val="18"/>
        </w:rPr>
        <w:t>≥10的</w:t>
      </w:r>
      <w:r>
        <w:rPr>
          <w:rFonts w:asciiTheme="minorEastAsia" w:hAnsiTheme="minorEastAsia"/>
          <w:sz w:val="18"/>
        </w:rPr>
        <w:t>专业。相关度</w:t>
      </w:r>
      <w:r>
        <w:rPr>
          <w:rFonts w:hint="eastAsia" w:asciiTheme="minorEastAsia" w:hAnsiTheme="minorEastAsia"/>
          <w:sz w:val="18"/>
        </w:rPr>
        <w:t>=</w:t>
      </w:r>
      <w:r>
        <w:rPr>
          <w:rFonts w:asciiTheme="minorEastAsia" w:hAnsiTheme="minorEastAsia"/>
          <w:sz w:val="18"/>
        </w:rPr>
        <w:t>非常相关</w:t>
      </w:r>
      <w:r>
        <w:rPr>
          <w:rFonts w:hint="eastAsia" w:asciiTheme="minorEastAsia" w:hAnsiTheme="minorEastAsia"/>
          <w:sz w:val="18"/>
        </w:rPr>
        <w:t>+</w:t>
      </w:r>
      <w:r>
        <w:rPr>
          <w:rFonts w:asciiTheme="minorEastAsia" w:hAnsiTheme="minorEastAsia"/>
          <w:sz w:val="18"/>
        </w:rPr>
        <w:t>相关</w:t>
      </w:r>
      <w:r>
        <w:rPr>
          <w:rFonts w:hint="eastAsia" w:asciiTheme="minorEastAsia" w:hAnsiTheme="minorEastAsia"/>
          <w:sz w:val="18"/>
        </w:rPr>
        <w:t>+</w:t>
      </w:r>
      <w:r>
        <w:rPr>
          <w:rFonts w:asciiTheme="minorEastAsia" w:hAnsiTheme="minorEastAsia"/>
          <w:sz w:val="18"/>
        </w:rPr>
        <w:t>比较相关</w:t>
      </w:r>
      <w:r>
        <w:rPr>
          <w:rFonts w:hint="eastAsia" w:asciiTheme="minorEastAsia" w:hAnsiTheme="minorEastAsia"/>
          <w:sz w:val="18"/>
        </w:rPr>
        <w:t>。</w:t>
      </w:r>
    </w:p>
    <w:p>
      <w:pPr>
        <w:pStyle w:val="19"/>
        <w:spacing w:before="156" w:after="156"/>
      </w:pPr>
      <w:bookmarkStart w:id="52" w:name="_Toc503183042"/>
      <w:r>
        <w:rPr>
          <w:rFonts w:hint="eastAsia"/>
        </w:rPr>
        <w:t>六</w:t>
      </w:r>
      <w:r>
        <w:t>、2017</w:t>
      </w:r>
      <w:r>
        <w:rPr>
          <w:rFonts w:hint="eastAsia"/>
        </w:rPr>
        <w:t>届毕业生工作与理想一致性</w:t>
      </w:r>
      <w:bookmarkEnd w:id="52"/>
      <w:r>
        <w:rPr>
          <w:rFonts w:hint="eastAsia"/>
        </w:rPr>
        <w:tab/>
      </w:r>
    </w:p>
    <w:p>
      <w:pPr>
        <w:pStyle w:val="29"/>
        <w:spacing w:before="156" w:after="156"/>
      </w:pPr>
      <w:bookmarkStart w:id="53" w:name="_Toc503183043"/>
      <w:r>
        <w:rPr>
          <w:rFonts w:hint="eastAsia"/>
        </w:rPr>
        <w:t>（一）毕业生总体工作与理想一致性</w:t>
      </w:r>
      <w:bookmarkEnd w:id="53"/>
    </w:p>
    <w:p>
      <w:pPr>
        <w:pStyle w:val="21"/>
        <w:ind w:firstLine="480"/>
      </w:pPr>
      <w:r>
        <w:rPr>
          <w:rFonts w:hint="eastAsia"/>
        </w:rPr>
        <w:t>总体来看，毕业生工作与理想一致性为</w:t>
      </w:r>
      <w:r>
        <w:t>89.99%</w:t>
      </w:r>
      <w:r>
        <w:rPr>
          <w:rFonts w:hint="eastAsia"/>
        </w:rPr>
        <w:t>。</w:t>
      </w:r>
      <w:r>
        <w:t>分性别来看</w:t>
      </w:r>
      <w:r>
        <w:rPr>
          <w:rFonts w:hint="eastAsia"/>
        </w:rPr>
        <w:t>，</w:t>
      </w:r>
      <w:r>
        <w:t>男性毕业生工作与理想一致性高于女性</w:t>
      </w:r>
      <w:r>
        <w:rPr>
          <w:rFonts w:hint="eastAsia"/>
        </w:rPr>
        <w:t>。其中男性为</w:t>
      </w:r>
      <w:r>
        <w:t>95.88%</w:t>
      </w:r>
      <w:r>
        <w:rPr>
          <w:rFonts w:hint="eastAsia"/>
        </w:rPr>
        <w:t>，</w:t>
      </w:r>
      <w:r>
        <w:t>女性为86.31%</w:t>
      </w:r>
      <w:r>
        <w:rPr>
          <w:rFonts w:hint="eastAsia"/>
        </w:rPr>
        <w:t>。</w:t>
      </w:r>
    </w:p>
    <w:p>
      <w:pPr>
        <w:jc w:val="center"/>
      </w:pPr>
      <w:r>
        <w:drawing>
          <wp:inline distT="0" distB="0" distL="0" distR="0">
            <wp:extent cx="4572000" cy="2743200"/>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8</w:t>
      </w:r>
      <w:r>
        <w:fldChar w:fldCharType="end"/>
      </w:r>
      <w:r>
        <w:t xml:space="preserve"> 2017</w:t>
      </w:r>
      <w:r>
        <w:rPr>
          <w:rFonts w:hint="eastAsia"/>
        </w:rPr>
        <w:t>届毕业生总体工作与理想一致性</w:t>
      </w:r>
    </w:p>
    <w:p>
      <w:pPr>
        <w:pStyle w:val="29"/>
        <w:spacing w:before="156" w:after="156"/>
      </w:pPr>
      <w:bookmarkStart w:id="54" w:name="_Toc503183044"/>
      <w:r>
        <w:rPr>
          <w:rFonts w:hint="eastAsia"/>
        </w:rPr>
        <w:t>（二）分专业毕业生工作与理想一致性</w:t>
      </w:r>
      <w:bookmarkEnd w:id="54"/>
    </w:p>
    <w:p>
      <w:pPr>
        <w:pStyle w:val="21"/>
        <w:ind w:firstLine="480"/>
      </w:pPr>
      <w:r>
        <w:rPr>
          <w:rFonts w:hint="eastAsia"/>
        </w:rPr>
        <w:t>调研数据显示，除康复治疗技术、护理、会计专业外，其余专业毕业生工作与理想一致性均高于总体（</w:t>
      </w:r>
      <w:r>
        <w:t>88.99%</w:t>
      </w:r>
      <w:r>
        <w:rPr>
          <w:rFonts w:hint="eastAsia"/>
        </w:rPr>
        <w:t>）。其中有7个专业毕业生工作与理想一致性为100.00%。</w:t>
      </w:r>
    </w:p>
    <w:p>
      <w:pPr>
        <w:pStyle w:val="23"/>
      </w:pPr>
      <w:r>
        <w:rPr>
          <w:rFonts w:hint="eastAsia"/>
        </w:rPr>
        <w:t>表3-</w:t>
      </w:r>
      <w:r>
        <w:fldChar w:fldCharType="begin"/>
      </w:r>
      <w:r>
        <w:rPr>
          <w:rFonts w:hint="eastAsia"/>
        </w:rPr>
        <w:instrText xml:space="preserve">SEQ 表3- \* ARABIC</w:instrText>
      </w:r>
      <w:r>
        <w:fldChar w:fldCharType="separate"/>
      </w:r>
      <w:r>
        <w:t>3</w:t>
      </w:r>
      <w:r>
        <w:fldChar w:fldCharType="end"/>
      </w:r>
      <w:r>
        <w:t xml:space="preserve"> 2017</w:t>
      </w:r>
      <w:r>
        <w:rPr>
          <w:rFonts w:hint="eastAsia"/>
        </w:rPr>
        <w:t>届分专业毕业生工作与理想一致性</w:t>
      </w:r>
    </w:p>
    <w:p>
      <w:pPr>
        <w:pStyle w:val="23"/>
        <w:jc w:val="right"/>
      </w:pPr>
      <w:r>
        <w:rPr>
          <w:rFonts w:hint="eastAsia"/>
        </w:rPr>
        <w:t>单位</w:t>
      </w:r>
      <w:r>
        <w:t>：（</w:t>
      </w:r>
      <w:r>
        <w:rPr>
          <w:rFonts w:hint="eastAsia"/>
        </w:rPr>
        <w:t>%</w:t>
      </w:r>
      <w:r>
        <w:t>）</w:t>
      </w:r>
    </w:p>
    <w:tbl>
      <w:tblPr>
        <w:tblStyle w:val="31"/>
        <w:tblW w:w="8522" w:type="dxa"/>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Grid>
        <w:gridCol w:w="1895"/>
        <w:gridCol w:w="1104"/>
        <w:gridCol w:w="1104"/>
        <w:gridCol w:w="1104"/>
        <w:gridCol w:w="1106"/>
        <w:gridCol w:w="1106"/>
        <w:gridCol w:w="1103"/>
      </w:tblGrid>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blHeader/>
        </w:trPr>
        <w:tc>
          <w:tcPr>
            <w:tcW w:w="1895" w:type="dxa"/>
            <w:tcBorders>
              <w:top w:val="single" w:color="5B9BD5" w:themeColor="accent1" w:sz="4" w:space="0"/>
              <w:left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专业</w:t>
            </w:r>
          </w:p>
        </w:tc>
        <w:tc>
          <w:tcPr>
            <w:tcW w:w="110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非常一致</w:t>
            </w:r>
          </w:p>
        </w:tc>
        <w:tc>
          <w:tcPr>
            <w:tcW w:w="110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一致</w:t>
            </w:r>
          </w:p>
        </w:tc>
        <w:tc>
          <w:tcPr>
            <w:tcW w:w="1104"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比较一致</w:t>
            </w:r>
          </w:p>
        </w:tc>
        <w:tc>
          <w:tcPr>
            <w:tcW w:w="1106"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不太一致</w:t>
            </w:r>
          </w:p>
        </w:tc>
        <w:tc>
          <w:tcPr>
            <w:tcW w:w="1106" w:type="dxa"/>
            <w:tcBorders>
              <w:top w:val="single" w:color="5B9BD5" w:themeColor="accent1" w:sz="4" w:space="0"/>
              <w:bottom w:val="single" w:color="5B9BD5" w:themeColor="accent1" w:sz="4" w:space="0"/>
              <w:right w:val="nil"/>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很不一致</w:t>
            </w:r>
          </w:p>
        </w:tc>
        <w:tc>
          <w:tcPr>
            <w:tcW w:w="1103" w:type="dxa"/>
            <w:tcBorders>
              <w:top w:val="single" w:color="5B9BD5" w:themeColor="accent1" w:sz="4" w:space="0"/>
              <w:bottom w:val="single" w:color="5B9BD5" w:themeColor="accent1" w:sz="4" w:space="0"/>
              <w:right w:val="single" w:color="5B9BD5" w:themeColor="accent1" w:sz="4" w:space="0"/>
              <w:insideH w:val="single" w:sz="4" w:space="0"/>
              <w:insideV w:val="nil"/>
            </w:tcBorders>
            <w:shd w:val="clear" w:color="auto" w:fill="5B9BD5" w:themeFill="accent1"/>
            <w:vAlign w:val="center"/>
          </w:tcPr>
          <w:p>
            <w:pPr>
              <w:widowControl/>
              <w:jc w:val="center"/>
              <w:rPr>
                <w:rFonts w:cs="宋体" w:asciiTheme="majorEastAsia" w:hAnsiTheme="majorEastAsia" w:eastAsiaTheme="majorEastAsia"/>
                <w:b/>
                <w:bCs/>
                <w:color w:val="FFFFFF" w:themeColor="background1"/>
                <w:kern w:val="0"/>
                <w:sz w:val="18"/>
                <w:szCs w:val="18"/>
              </w:rPr>
            </w:pPr>
            <w:r>
              <w:rPr>
                <w:rFonts w:hint="eastAsia" w:cs="宋体" w:asciiTheme="majorEastAsia" w:hAnsiTheme="majorEastAsia" w:eastAsiaTheme="majorEastAsia"/>
                <w:b/>
                <w:bCs/>
                <w:color w:val="FFFFFF" w:themeColor="background1"/>
                <w:kern w:val="0"/>
                <w:sz w:val="18"/>
                <w:szCs w:val="18"/>
              </w:rPr>
              <w:t>一致性</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机电一体化技术</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86.36</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13.64</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汽车检测与维修技术</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4.95</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62.38</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32.67</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计算机网络技术</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28.89</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64.44</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6.67</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嵌入式技术与应用</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32.43</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59.46</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8.11</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模具设计与制造</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58.82</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41.18</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装潢艺术设计</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11.76</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82.35</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5.88</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数控技术</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60.00</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40.00</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100.00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应用电子技术</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1.69</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81.36</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16.10</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0.85</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99.15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楼宇智能化工程技术</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14.81</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69.14</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14.81</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1.23</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98.77</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建筑工程技术</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59.18</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28.57</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10.20</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2.04</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97.96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临床医学</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11.33</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49.02</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31.45</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6.84</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1.37</w:t>
            </w:r>
          </w:p>
        </w:tc>
        <w:tc>
          <w:tcPr>
            <w:tcW w:w="110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91.80</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学前教育</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14.22</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45.69</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31.03</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8.19</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0.86</w:t>
            </w:r>
          </w:p>
        </w:tc>
        <w:tc>
          <w:tcPr>
            <w:tcW w:w="110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90.95</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酒店管理</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3.13</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9.38</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78.13</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6.25</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3.13</w:t>
            </w:r>
          </w:p>
        </w:tc>
        <w:tc>
          <w:tcPr>
            <w:tcW w:w="110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90.63</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软件开发与项目管理</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38.10</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52.38</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9.52</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0.00</w:t>
            </w:r>
          </w:p>
        </w:tc>
        <w:tc>
          <w:tcPr>
            <w:tcW w:w="110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90.48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物流管理</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42.86</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42.86</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4.76</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4.76</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4.76</w:t>
            </w:r>
          </w:p>
        </w:tc>
        <w:tc>
          <w:tcPr>
            <w:tcW w:w="110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90.48</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康复治疗技术</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27.59</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34.48</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20.69</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15.52</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1.72</w:t>
            </w:r>
          </w:p>
        </w:tc>
        <w:tc>
          <w:tcPr>
            <w:tcW w:w="110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82.76</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Ex>
        <w:trPr>
          <w:trHeight w:val="270" w:hRule="atLeast"/>
        </w:trPr>
        <w:tc>
          <w:tcPr>
            <w:tcW w:w="1895" w:type="dxa"/>
            <w:shd w:val="clear" w:color="auto" w:fill="DEEAF6" w:themeFill="accent1" w:themeFillTint="33"/>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护理</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10.19</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33.70</w:t>
            </w:r>
          </w:p>
        </w:tc>
        <w:tc>
          <w:tcPr>
            <w:tcW w:w="1104"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36.52</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17.55</w:t>
            </w:r>
          </w:p>
        </w:tc>
        <w:tc>
          <w:tcPr>
            <w:tcW w:w="1106"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2.04</w:t>
            </w:r>
          </w:p>
        </w:tc>
        <w:tc>
          <w:tcPr>
            <w:tcW w:w="1103" w:type="dxa"/>
            <w:shd w:val="clear" w:color="auto" w:fill="DEEAF6" w:themeFill="accent1" w:themeFillTint="33"/>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80.41</w:t>
            </w:r>
          </w:p>
        </w:tc>
      </w:tr>
      <w:tr>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Ex>
        <w:trPr>
          <w:trHeight w:val="270" w:hRule="atLeast"/>
        </w:trPr>
        <w:tc>
          <w:tcPr>
            <w:tcW w:w="1895" w:type="dxa"/>
            <w:vAlign w:val="center"/>
          </w:tcPr>
          <w:p>
            <w:pPr>
              <w:widowControl/>
              <w:jc w:val="center"/>
              <w:rPr>
                <w:rFonts w:cs="宋体" w:asciiTheme="majorEastAsia" w:hAnsiTheme="majorEastAsia" w:eastAsiaTheme="majorEastAsia"/>
                <w:b w:val="0"/>
                <w:bCs/>
                <w:color w:val="000000"/>
                <w:kern w:val="0"/>
                <w:sz w:val="18"/>
                <w:szCs w:val="18"/>
              </w:rPr>
            </w:pPr>
            <w:r>
              <w:rPr>
                <w:rFonts w:hint="eastAsia" w:cs="宋体" w:asciiTheme="majorEastAsia" w:hAnsiTheme="majorEastAsia" w:eastAsiaTheme="majorEastAsia"/>
                <w:b w:val="0"/>
                <w:bCs/>
                <w:color w:val="000000"/>
                <w:kern w:val="0"/>
                <w:sz w:val="18"/>
                <w:szCs w:val="18"/>
              </w:rPr>
              <w:t>会计</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5.00</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25.00</w:t>
            </w:r>
          </w:p>
        </w:tc>
        <w:tc>
          <w:tcPr>
            <w:tcW w:w="1104"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50.00</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17.50</w:t>
            </w:r>
          </w:p>
        </w:tc>
        <w:tc>
          <w:tcPr>
            <w:tcW w:w="1106"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2.50</w:t>
            </w:r>
          </w:p>
        </w:tc>
        <w:tc>
          <w:tcPr>
            <w:tcW w:w="1103" w:type="dxa"/>
            <w:vAlign w:val="center"/>
          </w:tcPr>
          <w:p>
            <w:pPr>
              <w:widowControl/>
              <w:jc w:val="center"/>
              <w:rPr>
                <w:rFonts w:cs="宋体" w:asciiTheme="majorEastAsia" w:hAnsiTheme="majorEastAsia" w:eastAsiaTheme="majorEastAsia"/>
                <w:color w:val="000000"/>
                <w:kern w:val="0"/>
                <w:sz w:val="18"/>
                <w:szCs w:val="18"/>
              </w:rPr>
            </w:pPr>
            <w:r>
              <w:rPr>
                <w:rFonts w:hint="eastAsia" w:cs="宋体" w:asciiTheme="majorEastAsia" w:hAnsiTheme="majorEastAsia" w:eastAsiaTheme="majorEastAsia"/>
                <w:color w:val="000000"/>
                <w:kern w:val="0"/>
                <w:sz w:val="18"/>
                <w:szCs w:val="18"/>
              </w:rPr>
              <w:t>80.00</w:t>
            </w:r>
          </w:p>
        </w:tc>
      </w:tr>
    </w:tbl>
    <w:p>
      <w:pPr>
        <w:rPr>
          <w:rFonts w:asciiTheme="minorEastAsia" w:hAnsiTheme="minorEastAsia"/>
          <w:sz w:val="18"/>
        </w:rPr>
      </w:pPr>
      <w:r>
        <w:rPr>
          <w:rFonts w:hint="eastAsia" w:asciiTheme="minorEastAsia" w:hAnsiTheme="minorEastAsia"/>
          <w:sz w:val="18"/>
        </w:rPr>
        <w:t>取样标准</w:t>
      </w:r>
      <w:r>
        <w:rPr>
          <w:rFonts w:asciiTheme="minorEastAsia" w:hAnsiTheme="minorEastAsia"/>
          <w:sz w:val="18"/>
        </w:rPr>
        <w:t>：</w:t>
      </w:r>
      <w:r>
        <w:rPr>
          <w:rFonts w:hint="eastAsia" w:asciiTheme="minorEastAsia" w:hAnsiTheme="minorEastAsia"/>
          <w:sz w:val="18"/>
        </w:rPr>
        <w:t>样本</w:t>
      </w:r>
      <w:r>
        <w:rPr>
          <w:rFonts w:asciiTheme="minorEastAsia" w:hAnsiTheme="minorEastAsia"/>
          <w:sz w:val="18"/>
        </w:rPr>
        <w:t>量</w:t>
      </w:r>
      <w:r>
        <w:rPr>
          <w:rFonts w:hint="eastAsia" w:asciiTheme="minorEastAsia" w:hAnsiTheme="minorEastAsia"/>
          <w:sz w:val="18"/>
        </w:rPr>
        <w:t>≥10的</w:t>
      </w:r>
      <w:r>
        <w:rPr>
          <w:rFonts w:asciiTheme="minorEastAsia" w:hAnsiTheme="minorEastAsia"/>
          <w:sz w:val="18"/>
        </w:rPr>
        <w:t>专业。</w:t>
      </w:r>
    </w:p>
    <w:p>
      <w:pPr>
        <w:pStyle w:val="19"/>
        <w:spacing w:before="156" w:after="156"/>
      </w:pPr>
      <w:bookmarkStart w:id="55" w:name="_Toc503183045"/>
      <w:r>
        <w:rPr>
          <w:rFonts w:hint="eastAsia"/>
        </w:rPr>
        <w:t>七</w:t>
      </w:r>
      <w:r>
        <w:t>、2017</w:t>
      </w:r>
      <w:r>
        <w:rPr>
          <w:rFonts w:hint="eastAsia"/>
        </w:rPr>
        <w:t>届毕业生工作稳定性</w:t>
      </w:r>
      <w:bookmarkEnd w:id="55"/>
    </w:p>
    <w:p>
      <w:pPr>
        <w:pStyle w:val="21"/>
        <w:ind w:firstLine="480"/>
      </w:pPr>
      <w:r>
        <w:t>调研数据显示</w:t>
      </w:r>
      <w:r>
        <w:rPr>
          <w:rFonts w:hint="eastAsia"/>
        </w:rPr>
        <w:t>，</w:t>
      </w:r>
      <w:r>
        <w:t>有</w:t>
      </w:r>
      <w:r>
        <w:rPr>
          <w:rFonts w:hint="eastAsia"/>
        </w:rPr>
        <w:t>73.23%的毕业生表示未更换过工作，而仅有2.08%的毕业生更换工作次数在3次及以上，说明大多数毕业生未频繁更换工作，工作稳定性较高。</w:t>
      </w:r>
    </w:p>
    <w:p>
      <w:pPr>
        <w:jc w:val="center"/>
      </w:pPr>
      <w:r>
        <w:drawing>
          <wp:inline distT="0" distB="0" distL="0" distR="0">
            <wp:extent cx="4572000" cy="2743200"/>
            <wp:effectExtent l="0" t="0" r="0" b="0"/>
            <wp:docPr id="195" name="图表 19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9</w:t>
      </w:r>
      <w:r>
        <w:fldChar w:fldCharType="end"/>
      </w:r>
      <w:r>
        <w:t xml:space="preserve"> 2017</w:t>
      </w:r>
      <w:r>
        <w:rPr>
          <w:rFonts w:hint="eastAsia"/>
        </w:rPr>
        <w:t>届毕业生换工作次数</w:t>
      </w:r>
    </w:p>
    <w:p>
      <w:pPr>
        <w:pStyle w:val="21"/>
        <w:ind w:firstLine="480"/>
      </w:pPr>
      <w:r>
        <w:rPr>
          <w:rFonts w:hint="eastAsia"/>
        </w:rPr>
        <w:t>进一步分析毕业生更换工作原因可知，发展空间不大、薪资福利差是毕业生更换工作的主要原因；此外有少数毕业生是因家庭、与领导/同事关系不好等原因更换工作。</w:t>
      </w:r>
    </w:p>
    <w:p>
      <w:pPr>
        <w:jc w:val="center"/>
      </w:pPr>
      <w:r>
        <w:drawing>
          <wp:inline distT="0" distB="0" distL="0" distR="0">
            <wp:extent cx="4572000" cy="2743200"/>
            <wp:effectExtent l="0" t="0" r="0" b="0"/>
            <wp:docPr id="196" name="图表 19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10</w:t>
      </w:r>
      <w:r>
        <w:fldChar w:fldCharType="end"/>
      </w:r>
      <w:r>
        <w:rPr>
          <w:rFonts w:hint="eastAsia"/>
        </w:rPr>
        <w:t>2017届毕业生换工作原因</w:t>
      </w:r>
    </w:p>
    <w:p>
      <w:pPr>
        <w:pStyle w:val="19"/>
        <w:spacing w:before="156" w:after="156"/>
      </w:pPr>
      <w:bookmarkStart w:id="56" w:name="_Toc503183046"/>
      <w:r>
        <w:rPr>
          <w:rFonts w:hint="eastAsia"/>
        </w:rPr>
        <w:t>八、2</w:t>
      </w:r>
      <w:r>
        <w:t>017</w:t>
      </w:r>
      <w:r>
        <w:rPr>
          <w:rFonts w:hint="eastAsia"/>
        </w:rPr>
        <w:t>届毕业生其他方面满意度</w:t>
      </w:r>
      <w:bookmarkEnd w:id="56"/>
    </w:p>
    <w:p>
      <w:pPr>
        <w:pStyle w:val="21"/>
        <w:ind w:firstLine="480"/>
      </w:pPr>
      <w:r>
        <w:t>调研数据显示</w:t>
      </w:r>
      <w:r>
        <w:rPr>
          <w:rFonts w:hint="eastAsia"/>
        </w:rPr>
        <w:t>，</w:t>
      </w:r>
      <w:r>
        <w:t>毕业生对工作环境满意度最高</w:t>
      </w:r>
      <w:r>
        <w:rPr>
          <w:rFonts w:hint="eastAsia"/>
        </w:rPr>
        <w:t>，</w:t>
      </w:r>
      <w:r>
        <w:t>为</w:t>
      </w:r>
      <w:r>
        <w:rPr>
          <w:rFonts w:hint="eastAsia"/>
        </w:rPr>
        <w:t>94.66%；其次是行业前途，为93.84%；而对福利保障满意度较低，仅为86.05%。</w:t>
      </w:r>
    </w:p>
    <w:p>
      <w:pPr>
        <w:jc w:val="center"/>
      </w:pPr>
      <w:r>
        <w:drawing>
          <wp:inline distT="0" distB="0" distL="0" distR="0">
            <wp:extent cx="4572000" cy="2667000"/>
            <wp:effectExtent l="0" t="0" r="0" b="0"/>
            <wp:docPr id="197" name="图表 19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pPr>
        <w:pStyle w:val="23"/>
      </w:pPr>
      <w:r>
        <w:rPr>
          <w:rFonts w:hint="eastAsia"/>
        </w:rPr>
        <w:t>图3-</w:t>
      </w:r>
      <w:r>
        <w:fldChar w:fldCharType="begin"/>
      </w:r>
      <w:r>
        <w:rPr>
          <w:rFonts w:hint="eastAsia"/>
        </w:rPr>
        <w:instrText xml:space="preserve">SEQ 图3- \* ARABIC</w:instrText>
      </w:r>
      <w:r>
        <w:fldChar w:fldCharType="separate"/>
      </w:r>
      <w:r>
        <w:t>11</w:t>
      </w:r>
      <w:r>
        <w:fldChar w:fldCharType="end"/>
      </w:r>
      <w:r>
        <w:t xml:space="preserve"> 2017</w:t>
      </w:r>
      <w:r>
        <w:rPr>
          <w:rFonts w:hint="eastAsia"/>
        </w:rPr>
        <w:t>届毕业生其他方面满意度</w:t>
      </w:r>
    </w:p>
    <w:p>
      <w:pPr>
        <w:jc w:val="center"/>
      </w:pPr>
    </w:p>
    <w:p>
      <w:pPr>
        <w:jc w:val="center"/>
      </w:pPr>
    </w:p>
    <w:p>
      <w:pPr>
        <w:jc w:val="center"/>
      </w:pPr>
    </w:p>
    <w:p>
      <w:pPr>
        <w:pStyle w:val="27"/>
        <w:spacing w:before="156" w:after="156"/>
      </w:pPr>
      <w:bookmarkStart w:id="57" w:name="_Toc501043978"/>
      <w:bookmarkStart w:id="58" w:name="_Toc503183047"/>
      <w:r>
        <w:rPr>
          <w:rFonts w:hint="eastAsia"/>
        </w:rPr>
        <w:t xml:space="preserve">第四章 </w:t>
      </w:r>
      <w:r>
        <w:t>2017</w:t>
      </w:r>
      <w:r>
        <w:rPr>
          <w:rFonts w:hint="eastAsia"/>
        </w:rPr>
        <w:t>届</w:t>
      </w:r>
      <w:r>
        <w:t>毕业生</w:t>
      </w:r>
      <w:r>
        <w:rPr>
          <w:rFonts w:hint="eastAsia"/>
        </w:rPr>
        <w:t>就业专项分析</w:t>
      </w:r>
      <w:bookmarkEnd w:id="57"/>
      <w:bookmarkEnd w:id="58"/>
    </w:p>
    <w:p>
      <w:pPr>
        <w:pStyle w:val="19"/>
        <w:spacing w:before="156" w:after="156"/>
      </w:pPr>
      <w:bookmarkStart w:id="59" w:name="_Toc503183048"/>
      <w:bookmarkStart w:id="60" w:name="_Toc501043979"/>
      <w:r>
        <w:rPr>
          <w:rFonts w:hint="eastAsia"/>
        </w:rPr>
        <w:t>一、2017届</w:t>
      </w:r>
      <w:r>
        <w:t>毕业生</w:t>
      </w:r>
      <w:r>
        <w:rPr>
          <w:rFonts w:hint="eastAsia"/>
        </w:rPr>
        <w:t>自主创业</w:t>
      </w:r>
      <w:r>
        <w:t>分析</w:t>
      </w:r>
      <w:bookmarkEnd w:id="59"/>
      <w:bookmarkEnd w:id="60"/>
    </w:p>
    <w:p>
      <w:pPr>
        <w:pStyle w:val="29"/>
        <w:spacing w:before="156" w:after="156"/>
      </w:pPr>
      <w:bookmarkStart w:id="61" w:name="_Toc501043980"/>
      <w:bookmarkStart w:id="62" w:name="_Toc503183049"/>
      <w:r>
        <w:rPr>
          <w:rFonts w:hint="eastAsia"/>
        </w:rPr>
        <w:t>（一）</w:t>
      </w:r>
      <w:bookmarkEnd w:id="61"/>
      <w:r>
        <w:rPr>
          <w:rFonts w:hint="eastAsia"/>
        </w:rPr>
        <w:t>毕业生自主创业原因</w:t>
      </w:r>
      <w:bookmarkEnd w:id="62"/>
    </w:p>
    <w:p>
      <w:pPr>
        <w:pStyle w:val="21"/>
        <w:ind w:firstLine="480"/>
      </w:pPr>
      <w:r>
        <w:t>调研数据显示</w:t>
      </w:r>
      <w:r>
        <w:rPr>
          <w:rFonts w:hint="eastAsia"/>
        </w:rPr>
        <w:t>，</w:t>
      </w:r>
      <w:r>
        <w:t>毕业生自主创业主要原因是</w:t>
      </w:r>
      <w:r>
        <w:rPr>
          <w:rFonts w:hint="eastAsia"/>
        </w:rPr>
        <w:t>“希望通过创业实现个人理想”“对创业充满兴趣、激情”“预期可能有更高收入”，占比分别是</w:t>
      </w:r>
      <w:r>
        <w:t>35.90%</w:t>
      </w:r>
      <w:r>
        <w:rPr>
          <w:rFonts w:hint="eastAsia"/>
        </w:rPr>
        <w:t>、2</w:t>
      </w:r>
      <w:r>
        <w:t>3.08</w:t>
      </w:r>
      <w:r>
        <w:rPr>
          <w:rFonts w:hint="eastAsia"/>
        </w:rPr>
        <w:t>%、2</w:t>
      </w:r>
      <w:r>
        <w:t>0.51</w:t>
      </w:r>
      <w:r>
        <w:rPr>
          <w:rFonts w:hint="eastAsia"/>
        </w:rPr>
        <w:t>%。</w:t>
      </w:r>
    </w:p>
    <w:p>
      <w:pPr>
        <w:jc w:val="center"/>
      </w:pPr>
      <w:r>
        <w:drawing>
          <wp:inline distT="0" distB="0" distL="0" distR="0">
            <wp:extent cx="4572000" cy="2667000"/>
            <wp:effectExtent l="0" t="0" r="0" b="0"/>
            <wp:docPr id="198" name="图表 19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1</w:t>
      </w:r>
      <w:r>
        <w:fldChar w:fldCharType="end"/>
      </w:r>
      <w:r>
        <w:t xml:space="preserve"> 2017</w:t>
      </w:r>
      <w:r>
        <w:rPr>
          <w:rFonts w:hint="eastAsia"/>
        </w:rPr>
        <w:t>届毕业生自主创业原因</w:t>
      </w:r>
    </w:p>
    <w:p>
      <w:pPr>
        <w:pStyle w:val="29"/>
        <w:spacing w:before="156" w:after="156"/>
      </w:pPr>
      <w:bookmarkStart w:id="63" w:name="_Toc503183050"/>
      <w:r>
        <w:rPr>
          <w:rFonts w:hint="eastAsia"/>
        </w:rPr>
        <w:t>（二）毕业生自主创业资金来源</w:t>
      </w:r>
      <w:bookmarkEnd w:id="63"/>
    </w:p>
    <w:p>
      <w:pPr>
        <w:pStyle w:val="21"/>
        <w:ind w:firstLine="480"/>
      </w:pPr>
      <w:r>
        <w:t>调研数据显示</w:t>
      </w:r>
      <w:r>
        <w:rPr>
          <w:rFonts w:hint="eastAsia"/>
        </w:rPr>
        <w:t>，</w:t>
      </w:r>
      <w:r>
        <w:t>父母亲友资助是毕业生自主创业资金最大来源</w:t>
      </w:r>
      <w:r>
        <w:rPr>
          <w:rFonts w:hint="eastAsia"/>
        </w:rPr>
        <w:t>（61.54%）；</w:t>
      </w:r>
      <w:r>
        <w:t>其次是个人赚取</w:t>
      </w:r>
      <w:r>
        <w:rPr>
          <w:rFonts w:hint="eastAsia"/>
        </w:rPr>
        <w:t>/个人积蓄（25.64%）；而大学生创业贷款、银行及其他金融机构贷款的占比比较小，说明政府和社会对大学生自主创业支持力度仍需加强。</w:t>
      </w:r>
    </w:p>
    <w:p>
      <w:pPr>
        <w:jc w:val="center"/>
      </w:pPr>
      <w:r>
        <w:drawing>
          <wp:inline distT="0" distB="0" distL="0" distR="0">
            <wp:extent cx="4572000" cy="2743200"/>
            <wp:effectExtent l="0" t="0" r="0"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2</w:t>
      </w:r>
      <w:r>
        <w:fldChar w:fldCharType="end"/>
      </w:r>
      <w:r>
        <w:t xml:space="preserve"> 2017</w:t>
      </w:r>
      <w:r>
        <w:rPr>
          <w:rFonts w:hint="eastAsia"/>
        </w:rPr>
        <w:t>届毕业生自主创业资金来源</w:t>
      </w:r>
    </w:p>
    <w:p>
      <w:pPr>
        <w:pStyle w:val="29"/>
        <w:spacing w:before="156" w:after="156"/>
      </w:pPr>
      <w:bookmarkStart w:id="64" w:name="_Toc503183051"/>
      <w:r>
        <w:rPr>
          <w:rFonts w:hint="eastAsia"/>
        </w:rPr>
        <w:t>（三）毕业生自主创业遇到困难</w:t>
      </w:r>
      <w:bookmarkEnd w:id="64"/>
    </w:p>
    <w:p>
      <w:pPr>
        <w:pStyle w:val="21"/>
        <w:ind w:firstLine="480"/>
      </w:pPr>
      <w:r>
        <w:rPr>
          <w:rFonts w:hint="eastAsia"/>
        </w:rPr>
        <w:t>调研数据显示，毕业生自主创业过程中遇到的主要困难为产品服务的营销推广、社会关系缺乏、资金的筹备，占比分别是18.99%、1</w:t>
      </w:r>
      <w:r>
        <w:t>6.46</w:t>
      </w:r>
      <w:r>
        <w:rPr>
          <w:rFonts w:hint="eastAsia"/>
        </w:rPr>
        <w:t>%、1</w:t>
      </w:r>
      <w:r>
        <w:t>5</w:t>
      </w:r>
      <w:r>
        <w:rPr>
          <w:rFonts w:hint="eastAsia"/>
        </w:rPr>
        <w:t>.19%。</w:t>
      </w:r>
    </w:p>
    <w:p>
      <w:pPr>
        <w:ind w:left="765"/>
      </w:pPr>
      <w:r>
        <w:drawing>
          <wp:inline distT="0" distB="0" distL="0" distR="0">
            <wp:extent cx="4572000" cy="2743200"/>
            <wp:effectExtent l="0" t="0" r="0" b="0"/>
            <wp:docPr id="199" name="图表 199"/>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3</w:t>
      </w:r>
      <w:r>
        <w:fldChar w:fldCharType="end"/>
      </w:r>
      <w:r>
        <w:t xml:space="preserve"> 2017</w:t>
      </w:r>
      <w:r>
        <w:rPr>
          <w:rFonts w:hint="eastAsia"/>
        </w:rPr>
        <w:t>届毕业生自主创业遇到困难</w:t>
      </w:r>
    </w:p>
    <w:p>
      <w:pPr>
        <w:pStyle w:val="29"/>
        <w:spacing w:before="156" w:after="156"/>
      </w:pPr>
      <w:bookmarkStart w:id="65" w:name="_Toc503183052"/>
      <w:r>
        <w:rPr>
          <w:rFonts w:hint="eastAsia"/>
        </w:rPr>
        <w:t>（四）毕业生自主创业前准备</w:t>
      </w:r>
      <w:bookmarkEnd w:id="65"/>
    </w:p>
    <w:p>
      <w:pPr>
        <w:pStyle w:val="21"/>
        <w:ind w:firstLine="480"/>
      </w:pPr>
      <w:r>
        <w:t>调研数据显示</w:t>
      </w:r>
      <w:r>
        <w:rPr>
          <w:rFonts w:hint="eastAsia"/>
        </w:rPr>
        <w:t>，</w:t>
      </w:r>
      <w:r>
        <w:t>毕业生自主创业前准备主要是</w:t>
      </w:r>
      <w:r>
        <w:rPr>
          <w:rFonts w:hint="eastAsia"/>
        </w:rPr>
        <w:t>“到社会中历练”“向成功创业者学习”“多和朋友沟通，整合身边资源”，占比分别是25.58%、2</w:t>
      </w:r>
      <w:r>
        <w:t>0.93</w:t>
      </w:r>
      <w:r>
        <w:rPr>
          <w:rFonts w:hint="eastAsia"/>
        </w:rPr>
        <w:t>%、2</w:t>
      </w:r>
      <w:r>
        <w:t>0.93</w:t>
      </w:r>
      <w:r>
        <w:rPr>
          <w:rFonts w:hint="eastAsia"/>
        </w:rPr>
        <w:t>%。</w:t>
      </w:r>
    </w:p>
    <w:p>
      <w:pPr>
        <w:jc w:val="center"/>
      </w:pPr>
      <w:r>
        <w:drawing>
          <wp:inline distT="0" distB="0" distL="0" distR="0">
            <wp:extent cx="4572000" cy="2743200"/>
            <wp:effectExtent l="0" t="0" r="0" b="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4</w:t>
      </w:r>
      <w:r>
        <w:fldChar w:fldCharType="end"/>
      </w:r>
      <w:r>
        <w:t xml:space="preserve"> 2017</w:t>
      </w:r>
      <w:r>
        <w:rPr>
          <w:rFonts w:hint="eastAsia"/>
        </w:rPr>
        <w:t>届毕业生自主创业遇到困难</w:t>
      </w:r>
    </w:p>
    <w:p>
      <w:pPr>
        <w:pStyle w:val="19"/>
        <w:spacing w:before="156" w:after="156"/>
      </w:pPr>
      <w:bookmarkStart w:id="66" w:name="_Toc501043984"/>
      <w:bookmarkStart w:id="67" w:name="_Toc503183053"/>
      <w:r>
        <w:rPr>
          <w:rFonts w:hint="eastAsia"/>
        </w:rPr>
        <w:t>二、继续深造</w:t>
      </w:r>
      <w:r>
        <w:t>与出国分析</w:t>
      </w:r>
      <w:bookmarkEnd w:id="66"/>
      <w:bookmarkEnd w:id="67"/>
    </w:p>
    <w:p>
      <w:pPr>
        <w:pStyle w:val="21"/>
        <w:ind w:firstLine="480"/>
      </w:pPr>
      <w:r>
        <w:t>调研数据显示</w:t>
      </w:r>
      <w:r>
        <w:rPr>
          <w:rFonts w:hint="eastAsia"/>
        </w:rPr>
        <w:t>，</w:t>
      </w:r>
      <w:r>
        <w:t>毕业生继续深造与出国主要原因是提升综合能力</w:t>
      </w:r>
      <w:r>
        <w:rPr>
          <w:rFonts w:hint="eastAsia"/>
        </w:rPr>
        <w:t>（44.12%）；其次是对专业感兴趣（38.24%）；第三是缓解就业压力（14.71%）。</w:t>
      </w:r>
    </w:p>
    <w:p>
      <w:pPr>
        <w:jc w:val="center"/>
      </w:pPr>
      <w:r>
        <w:drawing>
          <wp:inline distT="0" distB="0" distL="0" distR="0">
            <wp:extent cx="4572000" cy="2743200"/>
            <wp:effectExtent l="0" t="0" r="0" b="0"/>
            <wp:docPr id="200" name="图表 200"/>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5</w:t>
      </w:r>
      <w:r>
        <w:fldChar w:fldCharType="end"/>
      </w:r>
      <w:r>
        <w:t xml:space="preserve"> 2017</w:t>
      </w:r>
      <w:r>
        <w:rPr>
          <w:rFonts w:hint="eastAsia"/>
        </w:rPr>
        <w:t>届</w:t>
      </w:r>
      <w:r>
        <w:t>毕业生继续深造与出国分析</w:t>
      </w:r>
    </w:p>
    <w:p>
      <w:pPr>
        <w:pStyle w:val="19"/>
        <w:spacing w:before="156" w:after="156"/>
      </w:pPr>
      <w:bookmarkStart w:id="68" w:name="_Toc503183054"/>
      <w:r>
        <w:rPr>
          <w:rFonts w:hint="eastAsia"/>
        </w:rPr>
        <w:t>三、2017届待就业毕业生调研分析</w:t>
      </w:r>
      <w:bookmarkEnd w:id="68"/>
    </w:p>
    <w:p>
      <w:pPr>
        <w:pStyle w:val="29"/>
        <w:spacing w:before="156" w:after="156"/>
      </w:pPr>
      <w:bookmarkStart w:id="69" w:name="_Toc503183055"/>
      <w:r>
        <w:rPr>
          <w:rFonts w:hint="eastAsia"/>
        </w:rPr>
        <w:t>（一）</w:t>
      </w:r>
      <w:r>
        <w:t>毕业生</w:t>
      </w:r>
      <w:r>
        <w:rPr>
          <w:rFonts w:hint="eastAsia"/>
        </w:rPr>
        <w:t>尚未就业</w:t>
      </w:r>
      <w:r>
        <w:t>原因</w:t>
      </w:r>
      <w:bookmarkEnd w:id="69"/>
    </w:p>
    <w:p>
      <w:pPr>
        <w:pStyle w:val="21"/>
        <w:ind w:firstLine="480"/>
      </w:pPr>
      <w:r>
        <w:rPr>
          <w:rFonts w:hint="eastAsia"/>
        </w:rPr>
        <w:t>调研</w:t>
      </w:r>
      <w:r>
        <w:t>数据显示，有50.00%的毕业生</w:t>
      </w:r>
      <w:r>
        <w:rPr>
          <w:rFonts w:hint="eastAsia"/>
        </w:rPr>
        <w:t>正在</w:t>
      </w:r>
      <w:r>
        <w:t>择业尚未落实就业单位</w:t>
      </w:r>
      <w:r>
        <w:rPr>
          <w:rFonts w:hint="eastAsia"/>
        </w:rPr>
        <w:t>，有20.63%的毕业生在等待单位签约；而仅有4.76%的毕业生表示暂时不就业。</w:t>
      </w:r>
    </w:p>
    <w:p>
      <w:pPr>
        <w:jc w:val="center"/>
      </w:pPr>
      <w:r>
        <w:drawing>
          <wp:inline distT="0" distB="0" distL="0" distR="0">
            <wp:extent cx="4572000" cy="2743200"/>
            <wp:effectExtent l="0" t="0" r="0" b="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6</w:t>
      </w:r>
      <w:r>
        <w:fldChar w:fldCharType="end"/>
      </w:r>
      <w:r>
        <w:t xml:space="preserve"> 2017</w:t>
      </w:r>
      <w:r>
        <w:rPr>
          <w:rFonts w:hint="eastAsia"/>
        </w:rPr>
        <w:t>届毕业生尚未就业的原因</w:t>
      </w:r>
    </w:p>
    <w:p>
      <w:pPr>
        <w:pStyle w:val="29"/>
        <w:spacing w:before="156" w:after="156"/>
      </w:pPr>
      <w:bookmarkStart w:id="70" w:name="_Toc467855770"/>
      <w:bookmarkStart w:id="71" w:name="_Toc503183056"/>
      <w:r>
        <w:rPr>
          <w:rFonts w:hint="eastAsia"/>
        </w:rPr>
        <w:t>（二）待就业毕业生</w:t>
      </w:r>
      <w:bookmarkEnd w:id="70"/>
      <w:r>
        <w:t>求职关注因素</w:t>
      </w:r>
      <w:bookmarkEnd w:id="71"/>
    </w:p>
    <w:p>
      <w:pPr>
        <w:pStyle w:val="21"/>
        <w:ind w:firstLine="480"/>
      </w:pPr>
      <w:r>
        <w:rPr>
          <w:rFonts w:hint="eastAsia"/>
        </w:rPr>
        <w:t>调研数据显示，毕业生求职关注因素排名前三的分别是工作待遇、工作稳定性、个人发展空间，占比分别是25.81%、2</w:t>
      </w:r>
      <w:r>
        <w:t>2.58</w:t>
      </w:r>
      <w:r>
        <w:rPr>
          <w:rFonts w:hint="eastAsia"/>
        </w:rPr>
        <w:t>%、1</w:t>
      </w:r>
      <w:r>
        <w:t>8.55</w:t>
      </w:r>
      <w:r>
        <w:rPr>
          <w:rFonts w:hint="eastAsia"/>
        </w:rPr>
        <w:t>%。</w:t>
      </w:r>
    </w:p>
    <w:p>
      <w:pPr>
        <w:ind w:left="765"/>
      </w:pPr>
      <w:r>
        <w:drawing>
          <wp:inline distT="0" distB="0" distL="0" distR="0">
            <wp:extent cx="4572000" cy="2743200"/>
            <wp:effectExtent l="0" t="0" r="0" b="0"/>
            <wp:docPr id="201" name="图表 20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7</w:t>
      </w:r>
      <w:r>
        <w:fldChar w:fldCharType="end"/>
      </w:r>
      <w:r>
        <w:t xml:space="preserve"> 2017</w:t>
      </w:r>
      <w:r>
        <w:rPr>
          <w:rFonts w:hint="eastAsia"/>
        </w:rPr>
        <w:t>届待就业毕业生求职关注因素</w:t>
      </w:r>
    </w:p>
    <w:p>
      <w:pPr>
        <w:pStyle w:val="29"/>
        <w:spacing w:before="156" w:after="156"/>
      </w:pPr>
      <w:bookmarkStart w:id="72" w:name="_Toc503183057"/>
      <w:bookmarkStart w:id="73" w:name="_Toc467855771"/>
      <w:r>
        <w:rPr>
          <w:rFonts w:hint="eastAsia"/>
        </w:rPr>
        <w:t>（三）待就业毕业生参加的</w:t>
      </w:r>
      <w:r>
        <w:t>面试次数</w:t>
      </w:r>
      <w:bookmarkEnd w:id="72"/>
      <w:bookmarkEnd w:id="73"/>
    </w:p>
    <w:p>
      <w:pPr>
        <w:pStyle w:val="21"/>
        <w:ind w:firstLine="480"/>
      </w:pPr>
      <w:r>
        <w:t>调研数据显示</w:t>
      </w:r>
      <w:r>
        <w:rPr>
          <w:rFonts w:hint="eastAsia"/>
        </w:rPr>
        <w:t>，64.04%的毕业生面试企业次数在1-</w:t>
      </w:r>
      <w:r>
        <w:t>3家</w:t>
      </w:r>
      <w:r>
        <w:rPr>
          <w:rFonts w:hint="eastAsia"/>
        </w:rPr>
        <w:t>；</w:t>
      </w:r>
      <w:r>
        <w:t>而仅有</w:t>
      </w:r>
      <w:r>
        <w:rPr>
          <w:rFonts w:hint="eastAsia"/>
        </w:rPr>
        <w:t>13.48%的毕业生未参加过面试，说明面对严峻的就业形势，大多数毕业生积极奔走在求职路上，以便及早就业。</w:t>
      </w:r>
    </w:p>
    <w:p>
      <w:pPr>
        <w:jc w:val="center"/>
      </w:pPr>
      <w:r>
        <w:drawing>
          <wp:inline distT="0" distB="0" distL="0" distR="0">
            <wp:extent cx="4572000" cy="2743200"/>
            <wp:effectExtent l="0" t="0" r="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8</w:t>
      </w:r>
      <w:r>
        <w:fldChar w:fldCharType="end"/>
      </w:r>
      <w:r>
        <w:t xml:space="preserve"> 2017</w:t>
      </w:r>
      <w:r>
        <w:rPr>
          <w:rFonts w:hint="eastAsia"/>
        </w:rPr>
        <w:t>届待就业毕业生参加的面试次数</w:t>
      </w:r>
    </w:p>
    <w:p>
      <w:pPr>
        <w:pStyle w:val="29"/>
        <w:spacing w:before="156" w:after="156"/>
      </w:pPr>
      <w:bookmarkStart w:id="74" w:name="_Toc503183058"/>
      <w:r>
        <w:rPr>
          <w:rFonts w:hint="eastAsia"/>
        </w:rPr>
        <w:t>（四）待就业毕业生求职过程中遇到的问题</w:t>
      </w:r>
      <w:bookmarkEnd w:id="74"/>
    </w:p>
    <w:p>
      <w:pPr>
        <w:pStyle w:val="21"/>
        <w:ind w:firstLine="480"/>
      </w:pPr>
      <w:r>
        <w:t>调研数据显示</w:t>
      </w:r>
      <w:r>
        <w:rPr>
          <w:rFonts w:hint="eastAsia"/>
        </w:rPr>
        <w:t>，</w:t>
      </w:r>
      <w:r>
        <w:t>毕业生求职过程中遇到的最主要问题是缺乏就业实践经验</w:t>
      </w:r>
      <w:r>
        <w:rPr>
          <w:rFonts w:hint="eastAsia"/>
        </w:rPr>
        <w:t>（20.62%）；其次是获得招聘信息的渠道太少（19.59%）；第三是待遇和条件不符合预期（15.98%）。缺乏就业实践经验已成为就业最大障碍，学</w:t>
      </w:r>
      <w:r>
        <w:rPr>
          <w:rFonts w:hint="eastAsia"/>
          <w:lang w:eastAsia="zh-CN"/>
        </w:rPr>
        <w:t>院</w:t>
      </w:r>
      <w:r>
        <w:rPr>
          <w:rFonts w:hint="eastAsia"/>
        </w:rPr>
        <w:t>更注重学生实践技能的培养，提高毕业生职业素质，使他们更加契合企业标准。</w:t>
      </w:r>
    </w:p>
    <w:p>
      <w:pPr>
        <w:ind w:left="765"/>
      </w:pPr>
      <w:r>
        <w:drawing>
          <wp:inline distT="0" distB="0" distL="0" distR="0">
            <wp:extent cx="4572000" cy="2743200"/>
            <wp:effectExtent l="0" t="0" r="0" b="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9</w:t>
      </w:r>
      <w:r>
        <w:fldChar w:fldCharType="end"/>
      </w:r>
      <w:r>
        <w:t xml:space="preserve"> 2017</w:t>
      </w:r>
      <w:r>
        <w:rPr>
          <w:rFonts w:hint="eastAsia"/>
        </w:rPr>
        <w:t>届待就业毕业生求职过程中遇到的问题</w:t>
      </w:r>
    </w:p>
    <w:p>
      <w:pPr>
        <w:pStyle w:val="23"/>
      </w:pPr>
    </w:p>
    <w:p>
      <w:pPr>
        <w:pStyle w:val="23"/>
      </w:pPr>
    </w:p>
    <w:p>
      <w:pPr>
        <w:pStyle w:val="29"/>
        <w:spacing w:before="156" w:after="156"/>
      </w:pPr>
      <w:bookmarkStart w:id="75" w:name="_Toc503183059"/>
      <w:r>
        <w:rPr>
          <w:rFonts w:hint="eastAsia"/>
        </w:rPr>
        <w:t>（五）待就业毕业生希望获得的帮助</w:t>
      </w:r>
      <w:bookmarkEnd w:id="75"/>
    </w:p>
    <w:p>
      <w:pPr>
        <w:pStyle w:val="21"/>
        <w:ind w:firstLine="480"/>
      </w:pPr>
      <w:r>
        <w:t>调研数据显示</w:t>
      </w:r>
      <w:r>
        <w:rPr>
          <w:rFonts w:hint="eastAsia"/>
        </w:rPr>
        <w:t>，2017届待就业毕业生希望获得的主要帮助是</w:t>
      </w:r>
      <w:r>
        <w:t>求职技巧培训</w:t>
      </w:r>
      <w:r>
        <w:rPr>
          <w:rFonts w:hint="eastAsia"/>
        </w:rPr>
        <w:t>（</w:t>
      </w:r>
      <w:r>
        <w:t>28.09</w:t>
      </w:r>
      <w:r>
        <w:rPr>
          <w:rFonts w:hint="eastAsia"/>
        </w:rPr>
        <w:t>%）、增加职位信息（</w:t>
      </w:r>
      <w:r>
        <w:t>23.60</w:t>
      </w:r>
      <w:r>
        <w:rPr>
          <w:rFonts w:hint="eastAsia"/>
        </w:rPr>
        <w:t>%）；此外毕业生还需要求职补贴、政策帮扶、求职心理辅导等帮助。</w:t>
      </w:r>
    </w:p>
    <w:p>
      <w:pPr>
        <w:jc w:val="center"/>
        <w:rPr>
          <w:b/>
        </w:rPr>
      </w:pPr>
      <w:r>
        <w:drawing>
          <wp:inline distT="0" distB="0" distL="0" distR="0">
            <wp:extent cx="4572000" cy="2667000"/>
            <wp:effectExtent l="0" t="0" r="0" b="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pPr>
        <w:pStyle w:val="23"/>
      </w:pPr>
      <w:r>
        <w:rPr>
          <w:rFonts w:hint="eastAsia"/>
        </w:rPr>
        <w:t>图4-</w:t>
      </w:r>
      <w:r>
        <w:fldChar w:fldCharType="begin"/>
      </w:r>
      <w:r>
        <w:rPr>
          <w:rFonts w:hint="eastAsia"/>
        </w:rPr>
        <w:instrText xml:space="preserve">SEQ 图4- \* ARABIC</w:instrText>
      </w:r>
      <w:r>
        <w:fldChar w:fldCharType="separate"/>
      </w:r>
      <w:r>
        <w:t>10</w:t>
      </w:r>
      <w:r>
        <w:fldChar w:fldCharType="end"/>
      </w:r>
      <w:r>
        <w:t xml:space="preserve"> 2017</w:t>
      </w:r>
      <w:r>
        <w:rPr>
          <w:rFonts w:hint="eastAsia"/>
        </w:rPr>
        <w:t>届待就业毕业生希望获得的帮助</w:t>
      </w:r>
    </w:p>
    <w:p>
      <w:pPr>
        <w:jc w:val="center"/>
      </w:pPr>
    </w:p>
    <w:p>
      <w:pPr>
        <w:jc w:val="center"/>
      </w:pPr>
    </w:p>
    <w:p>
      <w:pPr>
        <w:jc w:val="center"/>
      </w:pPr>
    </w:p>
    <w:p>
      <w:pPr>
        <w:jc w:val="center"/>
      </w:pPr>
    </w:p>
    <w:p>
      <w:pPr>
        <w:jc w:val="center"/>
      </w:pPr>
    </w:p>
    <w:p>
      <w:pPr>
        <w:jc w:val="center"/>
      </w:pPr>
    </w:p>
    <w:p>
      <w:pPr>
        <w:pStyle w:val="21"/>
        <w:ind w:firstLine="480"/>
      </w:pPr>
    </w:p>
    <w:p>
      <w:pPr>
        <w:pStyle w:val="21"/>
        <w:ind w:firstLine="480"/>
      </w:pPr>
    </w:p>
    <w:p>
      <w:pPr>
        <w:pStyle w:val="21"/>
        <w:ind w:firstLine="480"/>
      </w:pPr>
    </w:p>
    <w:p>
      <w:pPr>
        <w:pStyle w:val="21"/>
        <w:ind w:firstLine="480"/>
      </w:pPr>
    </w:p>
    <w:p>
      <w:pPr>
        <w:pStyle w:val="27"/>
        <w:spacing w:before="156" w:after="156"/>
        <w:rPr>
          <w:rFonts w:hint="eastAsia"/>
        </w:rPr>
      </w:pPr>
      <w:bookmarkStart w:id="76" w:name="_Toc503183060"/>
      <w:bookmarkStart w:id="77" w:name="_Toc501043995"/>
    </w:p>
    <w:p>
      <w:pPr>
        <w:pStyle w:val="27"/>
        <w:spacing w:before="156" w:after="156"/>
      </w:pPr>
      <w:r>
        <w:rPr>
          <w:rFonts w:hint="eastAsia"/>
        </w:rPr>
        <w:t xml:space="preserve">第五章 </w:t>
      </w:r>
      <w:r>
        <w:t>2017</w:t>
      </w:r>
      <w:r>
        <w:rPr>
          <w:rFonts w:hint="eastAsia"/>
        </w:rPr>
        <w:t>届</w:t>
      </w:r>
      <w:r>
        <w:t>毕业生</w:t>
      </w:r>
      <w:r>
        <w:rPr>
          <w:rFonts w:hint="eastAsia"/>
        </w:rPr>
        <w:t>对母校教育</w:t>
      </w:r>
      <w:r>
        <w:t>教学</w:t>
      </w:r>
      <w:r>
        <w:rPr>
          <w:rFonts w:hint="eastAsia"/>
        </w:rPr>
        <w:t>的</w:t>
      </w:r>
      <w:r>
        <w:t>评价</w:t>
      </w:r>
      <w:bookmarkEnd w:id="76"/>
      <w:bookmarkEnd w:id="77"/>
    </w:p>
    <w:p>
      <w:pPr>
        <w:pStyle w:val="19"/>
        <w:spacing w:before="156" w:after="156"/>
      </w:pPr>
      <w:bookmarkStart w:id="78" w:name="_Toc503183061"/>
      <w:bookmarkStart w:id="79" w:name="_Toc501043996"/>
      <w:r>
        <w:rPr>
          <w:rFonts w:hint="eastAsia"/>
        </w:rPr>
        <w:t>一</w:t>
      </w:r>
      <w:r>
        <w:t>、</w:t>
      </w:r>
      <w:r>
        <w:rPr>
          <w:rFonts w:hint="eastAsia"/>
        </w:rPr>
        <w:t>2017届毕业生对</w:t>
      </w:r>
      <w:r>
        <w:t>母校的满意度和推荐度</w:t>
      </w:r>
      <w:bookmarkEnd w:id="78"/>
      <w:bookmarkEnd w:id="79"/>
    </w:p>
    <w:p>
      <w:pPr>
        <w:pStyle w:val="21"/>
        <w:ind w:firstLine="480"/>
      </w:pPr>
      <w:r>
        <w:rPr>
          <w:rFonts w:hint="eastAsia"/>
        </w:rPr>
        <w:t>调研数据显示，毕业生对母校综合满意度为</w:t>
      </w:r>
      <w:r>
        <w:t>97.52%</w:t>
      </w:r>
      <w:r>
        <w:rPr>
          <w:rFonts w:hint="eastAsia"/>
        </w:rPr>
        <w:t>；</w:t>
      </w:r>
      <w:r>
        <w:t>综合推荐度为93.29%</w:t>
      </w:r>
      <w:r>
        <w:rPr>
          <w:rFonts w:hint="eastAsia"/>
        </w:rPr>
        <w:t>，</w:t>
      </w:r>
      <w:r>
        <w:t>说明学</w:t>
      </w:r>
      <w:r>
        <w:rPr>
          <w:rFonts w:hint="eastAsia"/>
          <w:lang w:eastAsia="zh-CN"/>
        </w:rPr>
        <w:t>院</w:t>
      </w:r>
      <w:r>
        <w:t>人才培养工作成绩突出</w:t>
      </w:r>
      <w:r>
        <w:rPr>
          <w:rFonts w:hint="eastAsia"/>
        </w:rPr>
        <w:t>，</w:t>
      </w:r>
      <w:r>
        <w:t>获得毕业生高度肯定</w:t>
      </w:r>
      <w:r>
        <w:rPr>
          <w:rFonts w:hint="eastAsia"/>
        </w:rPr>
        <w:t>。</w:t>
      </w:r>
    </w:p>
    <w:p>
      <w:pPr>
        <w:jc w:val="center"/>
      </w:pPr>
      <w:r>
        <w:drawing>
          <wp:inline distT="0" distB="0" distL="0" distR="0">
            <wp:extent cx="4572000" cy="2743200"/>
            <wp:effectExtent l="0" t="0" r="0" b="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pPr>
        <w:pStyle w:val="23"/>
      </w:pPr>
      <w:r>
        <w:rPr>
          <w:rFonts w:hint="eastAsia"/>
        </w:rPr>
        <w:t>图5-</w:t>
      </w:r>
      <w:r>
        <w:fldChar w:fldCharType="begin"/>
      </w:r>
      <w:r>
        <w:rPr>
          <w:rFonts w:hint="eastAsia"/>
        </w:rPr>
        <w:instrText xml:space="preserve">SEQ 图5- \* ARABIC</w:instrText>
      </w:r>
      <w:r>
        <w:fldChar w:fldCharType="separate"/>
      </w:r>
      <w:r>
        <w:t>1</w:t>
      </w:r>
      <w:r>
        <w:fldChar w:fldCharType="end"/>
      </w:r>
      <w:r>
        <w:rPr>
          <w:rFonts w:hint="eastAsia"/>
        </w:rPr>
        <w:t>2017届毕业生对母校的满意度和推荐度</w:t>
      </w:r>
    </w:p>
    <w:p>
      <w:pPr>
        <w:rPr>
          <w:rFonts w:asciiTheme="minorEastAsia" w:hAnsiTheme="minorEastAsia"/>
          <w:sz w:val="18"/>
        </w:rPr>
      </w:pPr>
      <w:r>
        <w:rPr>
          <w:rFonts w:asciiTheme="minorEastAsia" w:hAnsiTheme="minorEastAsia"/>
          <w:sz w:val="18"/>
        </w:rPr>
        <w:t>备注</w:t>
      </w:r>
      <w:r>
        <w:rPr>
          <w:rFonts w:hint="eastAsia" w:asciiTheme="minorEastAsia" w:hAnsiTheme="minorEastAsia"/>
          <w:sz w:val="18"/>
        </w:rPr>
        <w:t>：</w:t>
      </w:r>
      <w:r>
        <w:rPr>
          <w:rFonts w:asciiTheme="minorEastAsia" w:hAnsiTheme="minorEastAsia"/>
          <w:sz w:val="18"/>
        </w:rPr>
        <w:t>满意度</w:t>
      </w:r>
      <w:r>
        <w:rPr>
          <w:rFonts w:hint="eastAsia" w:asciiTheme="minorEastAsia" w:hAnsiTheme="minorEastAsia"/>
          <w:sz w:val="18"/>
        </w:rPr>
        <w:t>=</w:t>
      </w:r>
      <w:r>
        <w:rPr>
          <w:rFonts w:asciiTheme="minorEastAsia" w:hAnsiTheme="minorEastAsia"/>
          <w:sz w:val="18"/>
        </w:rPr>
        <w:t>非常满意</w:t>
      </w:r>
      <w:r>
        <w:rPr>
          <w:rFonts w:hint="eastAsia" w:asciiTheme="minorEastAsia" w:hAnsiTheme="minorEastAsia"/>
          <w:sz w:val="18"/>
        </w:rPr>
        <w:t>+</w:t>
      </w:r>
      <w:r>
        <w:rPr>
          <w:rFonts w:asciiTheme="minorEastAsia" w:hAnsiTheme="minorEastAsia"/>
          <w:sz w:val="18"/>
        </w:rPr>
        <w:t>满意</w:t>
      </w:r>
      <w:r>
        <w:rPr>
          <w:rFonts w:hint="eastAsia" w:asciiTheme="minorEastAsia" w:hAnsiTheme="minorEastAsia"/>
          <w:sz w:val="18"/>
        </w:rPr>
        <w:t>+</w:t>
      </w:r>
      <w:r>
        <w:rPr>
          <w:rFonts w:asciiTheme="minorEastAsia" w:hAnsiTheme="minorEastAsia"/>
          <w:sz w:val="18"/>
        </w:rPr>
        <w:t>比较满意</w:t>
      </w:r>
      <w:r>
        <w:rPr>
          <w:rFonts w:hint="eastAsia" w:asciiTheme="minorEastAsia" w:hAnsiTheme="minorEastAsia"/>
          <w:sz w:val="18"/>
        </w:rPr>
        <w:t>；</w:t>
      </w:r>
      <w:r>
        <w:rPr>
          <w:rFonts w:asciiTheme="minorEastAsia" w:hAnsiTheme="minorEastAsia"/>
          <w:sz w:val="18"/>
        </w:rPr>
        <w:t>推荐度</w:t>
      </w:r>
      <w:r>
        <w:rPr>
          <w:rFonts w:hint="eastAsia" w:asciiTheme="minorEastAsia" w:hAnsiTheme="minorEastAsia"/>
          <w:sz w:val="18"/>
        </w:rPr>
        <w:t>=</w:t>
      </w:r>
      <w:r>
        <w:rPr>
          <w:rFonts w:asciiTheme="minorEastAsia" w:hAnsiTheme="minorEastAsia"/>
          <w:sz w:val="18"/>
        </w:rPr>
        <w:t>非常愿意</w:t>
      </w:r>
      <w:r>
        <w:rPr>
          <w:rFonts w:hint="eastAsia" w:asciiTheme="minorEastAsia" w:hAnsiTheme="minorEastAsia"/>
          <w:sz w:val="18"/>
        </w:rPr>
        <w:t>+</w:t>
      </w:r>
      <w:r>
        <w:rPr>
          <w:rFonts w:asciiTheme="minorEastAsia" w:hAnsiTheme="minorEastAsia"/>
          <w:sz w:val="18"/>
        </w:rPr>
        <w:t>愿意</w:t>
      </w:r>
      <w:r>
        <w:rPr>
          <w:rFonts w:hint="eastAsia" w:asciiTheme="minorEastAsia" w:hAnsiTheme="minorEastAsia"/>
          <w:sz w:val="18"/>
        </w:rPr>
        <w:t>+</w:t>
      </w:r>
      <w:r>
        <w:rPr>
          <w:rFonts w:asciiTheme="minorEastAsia" w:hAnsiTheme="minorEastAsia"/>
          <w:sz w:val="18"/>
        </w:rPr>
        <w:t>比较愿意</w:t>
      </w:r>
      <w:r>
        <w:rPr>
          <w:rFonts w:hint="eastAsia" w:asciiTheme="minorEastAsia" w:hAnsiTheme="minorEastAsia"/>
          <w:sz w:val="18"/>
        </w:rPr>
        <w:t>。</w:t>
      </w:r>
    </w:p>
    <w:p>
      <w:pPr>
        <w:pStyle w:val="19"/>
        <w:spacing w:before="156" w:after="156"/>
      </w:pPr>
      <w:bookmarkStart w:id="80" w:name="_Toc467855774"/>
      <w:bookmarkStart w:id="81" w:name="_Toc503183062"/>
      <w:r>
        <w:rPr>
          <w:rFonts w:hint="eastAsia"/>
        </w:rPr>
        <w:t>二、2017届</w:t>
      </w:r>
      <w:r>
        <w:t>毕业生</w:t>
      </w:r>
      <w:r>
        <w:rPr>
          <w:rFonts w:hint="eastAsia"/>
        </w:rPr>
        <w:t>对</w:t>
      </w:r>
      <w:r>
        <w:t>母校</w:t>
      </w:r>
      <w:r>
        <w:rPr>
          <w:rFonts w:hint="eastAsia"/>
        </w:rPr>
        <w:t>教育教学方面</w:t>
      </w:r>
      <w:bookmarkEnd w:id="80"/>
      <w:r>
        <w:t>的评价及反馈</w:t>
      </w:r>
      <w:bookmarkEnd w:id="81"/>
    </w:p>
    <w:p>
      <w:pPr>
        <w:pStyle w:val="29"/>
        <w:spacing w:before="156" w:after="156"/>
      </w:pPr>
      <w:bookmarkStart w:id="82" w:name="_Toc467855775"/>
      <w:bookmarkStart w:id="83" w:name="_Toc503183063"/>
      <w:r>
        <w:rPr>
          <w:rFonts w:hint="eastAsia"/>
        </w:rPr>
        <w:t>（一）毕业生对母校教育教学</w:t>
      </w:r>
      <w:bookmarkEnd w:id="82"/>
      <w:r>
        <w:rPr>
          <w:rFonts w:hint="eastAsia"/>
        </w:rPr>
        <w:t>评价</w:t>
      </w:r>
      <w:bookmarkEnd w:id="83"/>
    </w:p>
    <w:p>
      <w:pPr>
        <w:pStyle w:val="21"/>
        <w:ind w:firstLine="480"/>
      </w:pPr>
      <w:r>
        <w:rPr>
          <w:rFonts w:hint="eastAsia"/>
        </w:rPr>
        <w:t>总体来看，毕业生对母校教育教学工作评价均在3.90分（5分制）以上。其中对教师授课评价最高，为4.02分；其次是实践教学，为3.99分；而对课程设置评价相对较低，为3.94分。专业设置关系着人才培养质量，影响着人才供给结构和社会技术结构，因此学</w:t>
      </w:r>
      <w:r>
        <w:rPr>
          <w:rFonts w:hint="eastAsia"/>
          <w:lang w:eastAsia="zh-CN"/>
        </w:rPr>
        <w:t>院</w:t>
      </w:r>
      <w:r>
        <w:rPr>
          <w:rFonts w:hint="eastAsia"/>
        </w:rPr>
        <w:t>应结合社会发展需求，进一步优化专业设置。</w:t>
      </w:r>
    </w:p>
    <w:p>
      <w:pPr>
        <w:jc w:val="center"/>
      </w:pPr>
      <w:r>
        <w:drawing>
          <wp:inline distT="0" distB="0" distL="0" distR="0">
            <wp:extent cx="4572000" cy="2743200"/>
            <wp:effectExtent l="0" t="0" r="0" b="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pPr>
        <w:pStyle w:val="23"/>
      </w:pPr>
      <w:r>
        <w:rPr>
          <w:rFonts w:hint="eastAsia"/>
        </w:rPr>
        <w:t>图5-</w:t>
      </w:r>
      <w:r>
        <w:fldChar w:fldCharType="begin"/>
      </w:r>
      <w:r>
        <w:rPr>
          <w:rFonts w:hint="eastAsia"/>
        </w:rPr>
        <w:instrText xml:space="preserve">SEQ 图5- \* ARABIC</w:instrText>
      </w:r>
      <w:r>
        <w:fldChar w:fldCharType="separate"/>
      </w:r>
      <w:r>
        <w:t>2</w:t>
      </w:r>
      <w:r>
        <w:fldChar w:fldCharType="end"/>
      </w:r>
      <w:r>
        <w:t xml:space="preserve"> 2017</w:t>
      </w:r>
      <w:r>
        <w:rPr>
          <w:rFonts w:hint="eastAsia"/>
        </w:rPr>
        <w:t>届毕业生对母校教育教学评价</w:t>
      </w:r>
    </w:p>
    <w:p>
      <w:pPr>
        <w:pStyle w:val="29"/>
        <w:spacing w:before="156" w:after="156"/>
      </w:pPr>
      <w:bookmarkStart w:id="84" w:name="_Toc503183064"/>
      <w:r>
        <w:rPr>
          <w:rFonts w:hint="eastAsia"/>
        </w:rPr>
        <w:t>（二）毕业生对母校教育教学方面反馈</w:t>
      </w:r>
      <w:bookmarkEnd w:id="84"/>
    </w:p>
    <w:p>
      <w:pPr>
        <w:pStyle w:val="21"/>
        <w:ind w:firstLine="480"/>
      </w:pPr>
      <w:r>
        <w:t>调研数据显示</w:t>
      </w:r>
      <w:r>
        <w:rPr>
          <w:rFonts w:hint="eastAsia"/>
        </w:rPr>
        <w:t>，毕业生认为母校教育教学方面最应改进的是实践教学（20.91%）；其次是专业课程内容及安排（19.30%）；第三是教学方法和手段（17.32%）。</w:t>
      </w:r>
    </w:p>
    <w:p>
      <w:pPr>
        <w:ind w:left="765"/>
      </w:pPr>
      <w:r>
        <w:drawing>
          <wp:inline distT="0" distB="0" distL="0" distR="0">
            <wp:extent cx="4572000" cy="2743200"/>
            <wp:effectExtent l="0" t="0" r="0" b="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pPr>
        <w:pStyle w:val="23"/>
      </w:pPr>
      <w:r>
        <w:rPr>
          <w:rFonts w:hint="eastAsia"/>
        </w:rPr>
        <w:t>图5-</w:t>
      </w:r>
      <w:r>
        <w:fldChar w:fldCharType="begin"/>
      </w:r>
      <w:r>
        <w:rPr>
          <w:rFonts w:hint="eastAsia"/>
        </w:rPr>
        <w:instrText xml:space="preserve">SEQ 图5- \* ARABIC</w:instrText>
      </w:r>
      <w:r>
        <w:fldChar w:fldCharType="separate"/>
      </w:r>
      <w:r>
        <w:t>3</w:t>
      </w:r>
      <w:r>
        <w:fldChar w:fldCharType="end"/>
      </w:r>
      <w:r>
        <w:t xml:space="preserve"> 2017</w:t>
      </w:r>
      <w:r>
        <w:rPr>
          <w:rFonts w:hint="eastAsia"/>
        </w:rPr>
        <w:t>届毕业生对母校教育教学方面反馈建议</w:t>
      </w:r>
    </w:p>
    <w:p>
      <w:pPr>
        <w:pStyle w:val="19"/>
        <w:spacing w:before="156" w:after="156"/>
      </w:pPr>
      <w:bookmarkStart w:id="85" w:name="_Toc503183065"/>
      <w:r>
        <w:rPr>
          <w:rFonts w:hint="eastAsia"/>
        </w:rPr>
        <w:t>二、2017届</w:t>
      </w:r>
      <w:r>
        <w:t>毕业生</w:t>
      </w:r>
      <w:r>
        <w:rPr>
          <w:rFonts w:hint="eastAsia"/>
        </w:rPr>
        <w:t>对</w:t>
      </w:r>
      <w:r>
        <w:t>母校</w:t>
      </w:r>
      <w:r>
        <w:rPr>
          <w:rFonts w:hint="eastAsia"/>
        </w:rPr>
        <w:t>就业服务方面</w:t>
      </w:r>
      <w:r>
        <w:t>的评价及反馈</w:t>
      </w:r>
      <w:bookmarkEnd w:id="85"/>
    </w:p>
    <w:p>
      <w:pPr>
        <w:pStyle w:val="29"/>
        <w:spacing w:before="156" w:after="156"/>
      </w:pPr>
      <w:bookmarkStart w:id="86" w:name="_Toc503183066"/>
      <w:bookmarkStart w:id="87" w:name="_Toc467855778"/>
      <w:r>
        <w:rPr>
          <w:rFonts w:hint="eastAsia"/>
        </w:rPr>
        <w:t>（一）毕业生对母校就业服务</w:t>
      </w:r>
      <w:r>
        <w:t>的满意度</w:t>
      </w:r>
      <w:bookmarkEnd w:id="86"/>
      <w:bookmarkEnd w:id="87"/>
    </w:p>
    <w:p>
      <w:pPr>
        <w:pStyle w:val="21"/>
        <w:ind w:firstLine="480"/>
      </w:pPr>
      <w:r>
        <w:t>调研数据显示</w:t>
      </w:r>
      <w:r>
        <w:rPr>
          <w:rFonts w:hint="eastAsia"/>
        </w:rPr>
        <w:t>，</w:t>
      </w:r>
      <w:r>
        <w:t>毕业生对母校就业服务工作满意度均在</w:t>
      </w:r>
      <w:r>
        <w:rPr>
          <w:rFonts w:hint="eastAsia"/>
        </w:rPr>
        <w:t>93.00%以上。其中就业信息提供与发布最高，为94.94%；其次是就业手续办理，为94.56%；而对就业困难群体帮扶情况满意度相对较低，为93.92%。</w:t>
      </w:r>
    </w:p>
    <w:p>
      <w:pPr>
        <w:jc w:val="center"/>
      </w:pPr>
      <w:r>
        <w:drawing>
          <wp:inline distT="0" distB="0" distL="0" distR="0">
            <wp:extent cx="4572000" cy="2667000"/>
            <wp:effectExtent l="0" t="0" r="0" b="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pPr>
        <w:pStyle w:val="23"/>
      </w:pPr>
      <w:r>
        <w:rPr>
          <w:rFonts w:hint="eastAsia"/>
        </w:rPr>
        <w:t>图5-</w:t>
      </w:r>
      <w:r>
        <w:fldChar w:fldCharType="begin"/>
      </w:r>
      <w:r>
        <w:rPr>
          <w:rFonts w:hint="eastAsia"/>
        </w:rPr>
        <w:instrText xml:space="preserve">SEQ 图5- \* ARABIC</w:instrText>
      </w:r>
      <w:r>
        <w:fldChar w:fldCharType="separate"/>
      </w:r>
      <w:r>
        <w:t>4</w:t>
      </w:r>
      <w:r>
        <w:fldChar w:fldCharType="end"/>
      </w:r>
      <w:r>
        <w:t xml:space="preserve"> 2017</w:t>
      </w:r>
      <w:r>
        <w:rPr>
          <w:rFonts w:hint="eastAsia"/>
        </w:rPr>
        <w:t>届毕业生对母校就业服务的满意度</w:t>
      </w:r>
    </w:p>
    <w:p>
      <w:pPr>
        <w:pStyle w:val="29"/>
        <w:spacing w:before="156" w:after="156"/>
      </w:pPr>
      <w:bookmarkStart w:id="88" w:name="_Toc503183067"/>
      <w:r>
        <w:rPr>
          <w:rFonts w:hint="eastAsia"/>
        </w:rPr>
        <w:t>（二）毕业生对母校就业服务</w:t>
      </w:r>
      <w:r>
        <w:t>反面</w:t>
      </w:r>
      <w:r>
        <w:rPr>
          <w:rFonts w:hint="eastAsia"/>
        </w:rPr>
        <w:t>反馈</w:t>
      </w:r>
      <w:bookmarkEnd w:id="88"/>
    </w:p>
    <w:p>
      <w:pPr>
        <w:pStyle w:val="21"/>
        <w:ind w:firstLine="480"/>
      </w:pPr>
      <w:r>
        <w:rPr>
          <w:rFonts w:hint="eastAsia"/>
        </w:rPr>
        <w:t>调研数据显示，毕业生希望学</w:t>
      </w:r>
      <w:r>
        <w:rPr>
          <w:rFonts w:hint="eastAsia"/>
          <w:lang w:eastAsia="zh-CN"/>
        </w:rPr>
        <w:t>院</w:t>
      </w:r>
      <w:r>
        <w:rPr>
          <w:rFonts w:hint="eastAsia"/>
        </w:rPr>
        <w:t>加强的就业服务方面分别是“求职面试技巧培训”“与用人单位建立关系，做好推荐工作”“就业政策、形势分析”，占比分别是20.41%、1</w:t>
      </w:r>
      <w:r>
        <w:t>8.77</w:t>
      </w:r>
      <w:r>
        <w:rPr>
          <w:rFonts w:hint="eastAsia"/>
        </w:rPr>
        <w:t>%、1</w:t>
      </w:r>
      <w:r>
        <w:t>7.09</w:t>
      </w:r>
      <w:r>
        <w:rPr>
          <w:rFonts w:hint="eastAsia"/>
        </w:rPr>
        <w:t>%。因此学</w:t>
      </w:r>
      <w:r>
        <w:rPr>
          <w:rFonts w:hint="eastAsia"/>
          <w:lang w:eastAsia="zh-CN"/>
        </w:rPr>
        <w:t>院</w:t>
      </w:r>
      <w:r>
        <w:rPr>
          <w:rFonts w:hint="eastAsia"/>
        </w:rPr>
        <w:t>应加强毕业生简历制作方法技巧、面试注意事项等方面的培训，帮助毕业生掌握求职技巧，提高毕业生就业竞争力。</w:t>
      </w:r>
    </w:p>
    <w:p>
      <w:pPr>
        <w:jc w:val="center"/>
      </w:pPr>
      <w:r>
        <w:drawing>
          <wp:inline distT="0" distB="0" distL="0" distR="0">
            <wp:extent cx="4572000" cy="2562225"/>
            <wp:effectExtent l="0" t="0" r="0" b="9525"/>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pPr>
        <w:pStyle w:val="23"/>
      </w:pPr>
      <w:r>
        <w:rPr>
          <w:rFonts w:hint="eastAsia"/>
        </w:rPr>
        <w:t>图5-</w:t>
      </w:r>
      <w:r>
        <w:fldChar w:fldCharType="begin"/>
      </w:r>
      <w:r>
        <w:rPr>
          <w:rFonts w:hint="eastAsia"/>
        </w:rPr>
        <w:instrText xml:space="preserve">SEQ 图5- \* ARABIC</w:instrText>
      </w:r>
      <w:r>
        <w:fldChar w:fldCharType="separate"/>
      </w:r>
      <w:r>
        <w:t>5</w:t>
      </w:r>
      <w:r>
        <w:fldChar w:fldCharType="end"/>
      </w:r>
      <w:r>
        <w:t xml:space="preserve"> 2017</w:t>
      </w:r>
      <w:r>
        <w:rPr>
          <w:rFonts w:hint="eastAsia"/>
        </w:rPr>
        <w:t>届毕业生对母校就业服务反面反馈建议</w:t>
      </w:r>
    </w:p>
    <w:p>
      <w:pPr>
        <w:pStyle w:val="23"/>
      </w:pPr>
    </w:p>
    <w:p>
      <w:pPr>
        <w:pStyle w:val="27"/>
        <w:keepNext w:val="0"/>
        <w:keepLines w:val="0"/>
        <w:pageBreakBefore w:val="0"/>
        <w:widowControl/>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center"/>
        <w:textAlignment w:val="auto"/>
        <w:outlineLvl w:val="0"/>
      </w:pPr>
      <w:bookmarkStart w:id="89" w:name="_Toc499653963"/>
      <w:bookmarkStart w:id="90" w:name="_Toc503183068"/>
      <w:r>
        <w:rPr>
          <w:rFonts w:hint="eastAsia"/>
        </w:rPr>
        <w:t>第六章 用人单位</w:t>
      </w:r>
      <w:r>
        <w:t>评价及反馈</w:t>
      </w:r>
      <w:bookmarkEnd w:id="89"/>
      <w:bookmarkEnd w:id="90"/>
    </w:p>
    <w:p>
      <w:pPr>
        <w:pStyle w:val="19"/>
        <w:spacing w:before="156" w:after="156"/>
      </w:pPr>
      <w:bookmarkStart w:id="91" w:name="_Toc499653964"/>
      <w:bookmarkStart w:id="92" w:name="_Toc503183069"/>
      <w:r>
        <w:rPr>
          <w:rFonts w:hint="eastAsia"/>
        </w:rPr>
        <w:t>一</w:t>
      </w:r>
      <w:r>
        <w:t>、</w:t>
      </w:r>
      <w:r>
        <w:rPr>
          <w:rFonts w:hint="eastAsia"/>
        </w:rPr>
        <w:t>用人单位</w:t>
      </w:r>
      <w:r>
        <w:t>基本情况</w:t>
      </w:r>
      <w:bookmarkEnd w:id="91"/>
      <w:bookmarkEnd w:id="92"/>
    </w:p>
    <w:p>
      <w:pPr>
        <w:pStyle w:val="29"/>
        <w:spacing w:before="156" w:after="156"/>
      </w:pPr>
      <w:bookmarkStart w:id="93" w:name="_Toc503183070"/>
      <w:r>
        <w:rPr>
          <w:rFonts w:hint="eastAsia"/>
        </w:rPr>
        <w:t>（一）单位</w:t>
      </w:r>
      <w:r>
        <w:t>规模</w:t>
      </w:r>
      <w:bookmarkEnd w:id="93"/>
    </w:p>
    <w:p>
      <w:pPr>
        <w:pStyle w:val="21"/>
        <w:ind w:firstLine="480"/>
      </w:pPr>
      <w:r>
        <w:rPr>
          <w:rFonts w:hint="eastAsia"/>
        </w:rPr>
        <w:t>调研数据显示，来校招聘的用人单位规模主要集中在50人以下，占比45.45%；其次是5</w:t>
      </w:r>
      <w:r>
        <w:t>01</w:t>
      </w:r>
      <w:r>
        <w:rPr>
          <w:rFonts w:hint="eastAsia"/>
        </w:rPr>
        <w:t>-</w:t>
      </w:r>
      <w:r>
        <w:t>1000人之间的企业</w:t>
      </w:r>
      <w:r>
        <w:rPr>
          <w:rFonts w:hint="eastAsia"/>
        </w:rPr>
        <w:t>，</w:t>
      </w:r>
      <w:r>
        <w:t>占比</w:t>
      </w:r>
      <w:r>
        <w:rPr>
          <w:rFonts w:hint="eastAsia"/>
        </w:rPr>
        <w:t>15.15%。</w:t>
      </w:r>
    </w:p>
    <w:p>
      <w:pPr>
        <w:jc w:val="center"/>
      </w:pPr>
      <w:r>
        <w:drawing>
          <wp:inline distT="0" distB="0" distL="0" distR="0">
            <wp:extent cx="4572000" cy="2743200"/>
            <wp:effectExtent l="0" t="0" r="0" b="0"/>
            <wp:docPr id="202" name="图表 202"/>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1</w:t>
      </w:r>
      <w:r>
        <w:fldChar w:fldCharType="end"/>
      </w:r>
      <w:r>
        <w:t>用人单位规模分布</w:t>
      </w:r>
    </w:p>
    <w:p>
      <w:pPr>
        <w:pStyle w:val="29"/>
        <w:spacing w:before="156" w:after="156"/>
      </w:pPr>
      <w:bookmarkStart w:id="94" w:name="_Toc499653965"/>
      <w:bookmarkStart w:id="95" w:name="_Toc503183071"/>
      <w:r>
        <w:rPr>
          <w:rFonts w:hint="eastAsia"/>
        </w:rPr>
        <w:t>（二）单位</w:t>
      </w:r>
      <w:bookmarkEnd w:id="94"/>
      <w:r>
        <w:rPr>
          <w:rFonts w:hint="eastAsia"/>
        </w:rPr>
        <w:t>性质</w:t>
      </w:r>
      <w:bookmarkEnd w:id="95"/>
    </w:p>
    <w:p>
      <w:pPr>
        <w:pStyle w:val="21"/>
        <w:ind w:firstLine="480"/>
      </w:pPr>
      <w:r>
        <w:t>调研数据显示</w:t>
      </w:r>
      <w:r>
        <w:rPr>
          <w:rFonts w:hint="eastAsia"/>
        </w:rPr>
        <w:t>，</w:t>
      </w:r>
      <w:r>
        <w:t>来校招聘的用人单位性质以民</w:t>
      </w:r>
      <w:r>
        <w:rPr>
          <w:rFonts w:hint="eastAsia"/>
        </w:rPr>
        <w:t>（私）营企业、事业单位为主，占比分别是45.45%、2</w:t>
      </w:r>
      <w:r>
        <w:t>5.25</w:t>
      </w:r>
      <w:r>
        <w:rPr>
          <w:rFonts w:hint="eastAsia"/>
        </w:rPr>
        <w:t>%；</w:t>
      </w:r>
      <w:r>
        <w:t>此外还有少数国有企业</w:t>
      </w:r>
      <w:r>
        <w:rPr>
          <w:rFonts w:hint="eastAsia"/>
        </w:rPr>
        <w:t>、</w:t>
      </w:r>
      <w:r>
        <w:t>外</w:t>
      </w:r>
      <w:r>
        <w:rPr>
          <w:rFonts w:hint="eastAsia"/>
        </w:rPr>
        <w:t>（合）资企业等。</w:t>
      </w:r>
    </w:p>
    <w:p>
      <w:pPr>
        <w:jc w:val="center"/>
      </w:pPr>
      <w:r>
        <w:drawing>
          <wp:inline distT="0" distB="0" distL="0" distR="0">
            <wp:extent cx="4572000" cy="2743200"/>
            <wp:effectExtent l="0" t="0" r="0" b="0"/>
            <wp:docPr id="203" name="图表 203"/>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2</w:t>
      </w:r>
      <w:r>
        <w:fldChar w:fldCharType="end"/>
      </w:r>
      <w:r>
        <w:t>用人单位性质分布</w:t>
      </w:r>
    </w:p>
    <w:p>
      <w:pPr>
        <w:pStyle w:val="29"/>
        <w:spacing w:before="156" w:after="156"/>
      </w:pPr>
      <w:bookmarkStart w:id="96" w:name="_Toc499653966"/>
      <w:bookmarkStart w:id="97" w:name="_Toc503183072"/>
      <w:r>
        <w:rPr>
          <w:rFonts w:hint="eastAsia"/>
        </w:rPr>
        <w:t>（三）单位行业</w:t>
      </w:r>
      <w:bookmarkEnd w:id="96"/>
      <w:bookmarkEnd w:id="97"/>
    </w:p>
    <w:p>
      <w:pPr>
        <w:pStyle w:val="21"/>
        <w:ind w:firstLine="480"/>
      </w:pPr>
      <w:r>
        <w:t>调研数据显示</w:t>
      </w:r>
      <w:r>
        <w:rPr>
          <w:rFonts w:hint="eastAsia"/>
        </w:rPr>
        <w:t>，</w:t>
      </w:r>
      <w:r>
        <w:t>来校招聘的用人单位行业排名前三的分别是</w:t>
      </w:r>
      <w:r>
        <w:rPr>
          <w:rFonts w:hint="eastAsia"/>
        </w:rPr>
        <w:t>“卫生和社会工作”“建筑业”“信息传输、软件和信息技术服务业”，占比分别是4</w:t>
      </w:r>
      <w:r>
        <w:t>2.42</w:t>
      </w:r>
      <w:r>
        <w:rPr>
          <w:rFonts w:hint="eastAsia"/>
        </w:rPr>
        <w:t>%、1</w:t>
      </w:r>
      <w:r>
        <w:t>0.10</w:t>
      </w:r>
      <w:r>
        <w:rPr>
          <w:rFonts w:hint="eastAsia"/>
        </w:rPr>
        <w:t>%、1</w:t>
      </w:r>
      <w:r>
        <w:t>0.10</w:t>
      </w:r>
      <w:r>
        <w:rPr>
          <w:rFonts w:hint="eastAsia"/>
        </w:rPr>
        <w:t>%。</w:t>
      </w:r>
    </w:p>
    <w:p>
      <w:pPr>
        <w:jc w:val="center"/>
      </w:pPr>
      <w:r>
        <w:drawing>
          <wp:inline distT="0" distB="0" distL="0" distR="0">
            <wp:extent cx="4572000" cy="3162300"/>
            <wp:effectExtent l="0" t="0" r="0" b="0"/>
            <wp:docPr id="204" name="图表 204"/>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3</w:t>
      </w:r>
      <w:r>
        <w:fldChar w:fldCharType="end"/>
      </w:r>
      <w:r>
        <w:t>用人单位行业分布</w:t>
      </w:r>
    </w:p>
    <w:p>
      <w:pPr>
        <w:pStyle w:val="29"/>
        <w:spacing w:before="156" w:after="156"/>
      </w:pPr>
      <w:bookmarkStart w:id="98" w:name="_Toc503183073"/>
      <w:r>
        <w:rPr>
          <w:rFonts w:hint="eastAsia"/>
        </w:rPr>
        <w:t>（四）招聘</w:t>
      </w:r>
      <w:r>
        <w:t>毕业生渠道</w:t>
      </w:r>
      <w:bookmarkEnd w:id="98"/>
    </w:p>
    <w:p>
      <w:pPr>
        <w:pStyle w:val="21"/>
        <w:ind w:firstLine="480"/>
      </w:pPr>
      <w:r>
        <w:t>调研数据显示</w:t>
      </w:r>
      <w:r>
        <w:rPr>
          <w:rFonts w:hint="eastAsia"/>
        </w:rPr>
        <w:t>，</w:t>
      </w:r>
      <w:r>
        <w:t>用人单位招聘渠道以校园招聘为主</w:t>
      </w:r>
      <w:r>
        <w:rPr>
          <w:rFonts w:hint="eastAsia"/>
        </w:rPr>
        <w:t>，</w:t>
      </w:r>
      <w:r>
        <w:t>占比</w:t>
      </w:r>
      <w:r>
        <w:rPr>
          <w:rFonts w:hint="eastAsia"/>
        </w:rPr>
        <w:t>54.55%。说明学</w:t>
      </w:r>
      <w:r>
        <w:rPr>
          <w:rFonts w:hint="eastAsia"/>
          <w:lang w:eastAsia="zh-CN"/>
        </w:rPr>
        <w:t>院</w:t>
      </w:r>
      <w:r>
        <w:rPr>
          <w:rFonts w:hint="eastAsia"/>
        </w:rPr>
        <w:t>积极为用人单位和毕业生搭建服务平台，以满足用人单位高层次人才需求。</w:t>
      </w:r>
    </w:p>
    <w:p>
      <w:pPr>
        <w:jc w:val="center"/>
      </w:pPr>
      <w:r>
        <w:drawing>
          <wp:inline distT="0" distB="0" distL="0" distR="0">
            <wp:extent cx="4572000" cy="2743200"/>
            <wp:effectExtent l="0" t="0" r="0" b="0"/>
            <wp:docPr id="205" name="图表 205"/>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4</w:t>
      </w:r>
      <w:r>
        <w:fldChar w:fldCharType="end"/>
      </w:r>
      <w:r>
        <w:t>用人单位招聘毕业生渠道</w:t>
      </w:r>
    </w:p>
    <w:p>
      <w:pPr>
        <w:pStyle w:val="19"/>
        <w:spacing w:before="156" w:after="156"/>
      </w:pPr>
      <w:bookmarkStart w:id="99" w:name="_Toc499653967"/>
      <w:bookmarkStart w:id="100" w:name="_Toc503183074"/>
      <w:r>
        <w:rPr>
          <w:rFonts w:hint="eastAsia"/>
        </w:rPr>
        <w:t>二</w:t>
      </w:r>
      <w:r>
        <w:t>、单位</w:t>
      </w:r>
      <w:r>
        <w:rPr>
          <w:rFonts w:hint="eastAsia"/>
        </w:rPr>
        <w:t>招聘毕业</w:t>
      </w:r>
      <w:r>
        <w:t>生关注因素</w:t>
      </w:r>
      <w:bookmarkEnd w:id="99"/>
      <w:bookmarkEnd w:id="100"/>
    </w:p>
    <w:p>
      <w:pPr>
        <w:pStyle w:val="29"/>
        <w:spacing w:before="156" w:after="156"/>
      </w:pPr>
      <w:bookmarkStart w:id="101" w:name="_Toc503183075"/>
      <w:bookmarkStart w:id="102" w:name="_Toc467855795"/>
      <w:r>
        <w:rPr>
          <w:rFonts w:hint="eastAsia"/>
        </w:rPr>
        <w:t>（一）用人单位对毕业</w:t>
      </w:r>
      <w:r>
        <w:t>生专业</w:t>
      </w:r>
      <w:r>
        <w:rPr>
          <w:rFonts w:hint="eastAsia"/>
        </w:rPr>
        <w:t>的</w:t>
      </w:r>
      <w:r>
        <w:t>关注度</w:t>
      </w:r>
      <w:bookmarkEnd w:id="101"/>
      <w:bookmarkEnd w:id="102"/>
    </w:p>
    <w:p>
      <w:pPr>
        <w:pStyle w:val="21"/>
        <w:ind w:firstLine="480"/>
      </w:pPr>
      <w:r>
        <w:t>调研数据显示</w:t>
      </w:r>
      <w:r>
        <w:rPr>
          <w:rFonts w:hint="eastAsia"/>
        </w:rPr>
        <w:t>，</w:t>
      </w:r>
      <w:r>
        <w:t>用人单位对毕业生专业的关注度较高</w:t>
      </w:r>
      <w:r>
        <w:rPr>
          <w:rFonts w:hint="eastAsia"/>
        </w:rPr>
        <w:t>，</w:t>
      </w:r>
      <w:r>
        <w:t>为</w:t>
      </w:r>
      <w:r>
        <w:rPr>
          <w:rFonts w:hint="eastAsia"/>
        </w:rPr>
        <w:t>97.</w:t>
      </w:r>
      <w:r>
        <w:t>9</w:t>
      </w:r>
      <w:r>
        <w:rPr>
          <w:rFonts w:hint="eastAsia"/>
        </w:rPr>
        <w:t>8%。说明用人单位希望招聘专业对口的毕业生，真正发挥毕业生的专业优势。</w:t>
      </w:r>
    </w:p>
    <w:p>
      <w:pPr>
        <w:jc w:val="center"/>
      </w:pPr>
      <w:r>
        <w:drawing>
          <wp:inline distT="0" distB="0" distL="0" distR="0">
            <wp:extent cx="4572000" cy="2667000"/>
            <wp:effectExtent l="0" t="0" r="0" b="0"/>
            <wp:docPr id="206" name="图表 206"/>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5</w:t>
      </w:r>
      <w:r>
        <w:fldChar w:fldCharType="end"/>
      </w:r>
      <w:r>
        <w:t>用人单位对毕业生专业的关注度</w:t>
      </w:r>
    </w:p>
    <w:p>
      <w:pPr>
        <w:jc w:val="left"/>
        <w:rPr>
          <w:rFonts w:asciiTheme="majorEastAsia" w:hAnsiTheme="majorEastAsia" w:eastAsiaTheme="majorEastAsia"/>
          <w:sz w:val="18"/>
        </w:rPr>
      </w:pPr>
      <w:r>
        <w:rPr>
          <w:rFonts w:asciiTheme="majorEastAsia" w:hAnsiTheme="majorEastAsia" w:eastAsiaTheme="majorEastAsia"/>
          <w:sz w:val="18"/>
        </w:rPr>
        <w:t>备注</w:t>
      </w:r>
      <w:r>
        <w:rPr>
          <w:rFonts w:hint="eastAsia" w:asciiTheme="majorEastAsia" w:hAnsiTheme="majorEastAsia" w:eastAsiaTheme="majorEastAsia"/>
          <w:sz w:val="18"/>
        </w:rPr>
        <w:t>：</w:t>
      </w:r>
      <w:r>
        <w:rPr>
          <w:rFonts w:asciiTheme="majorEastAsia" w:hAnsiTheme="majorEastAsia" w:eastAsiaTheme="majorEastAsia"/>
          <w:sz w:val="18"/>
        </w:rPr>
        <w:t>关注度</w:t>
      </w:r>
      <w:r>
        <w:rPr>
          <w:rFonts w:hint="eastAsia" w:asciiTheme="majorEastAsia" w:hAnsiTheme="majorEastAsia" w:eastAsiaTheme="majorEastAsia"/>
          <w:sz w:val="18"/>
        </w:rPr>
        <w:t>=</w:t>
      </w:r>
      <w:r>
        <w:rPr>
          <w:rFonts w:asciiTheme="majorEastAsia" w:hAnsiTheme="majorEastAsia" w:eastAsiaTheme="majorEastAsia"/>
          <w:sz w:val="18"/>
        </w:rPr>
        <w:t>非常关注</w:t>
      </w:r>
      <w:r>
        <w:rPr>
          <w:rFonts w:hint="eastAsia" w:asciiTheme="majorEastAsia" w:hAnsiTheme="majorEastAsia" w:eastAsiaTheme="majorEastAsia"/>
          <w:sz w:val="18"/>
        </w:rPr>
        <w:t>+</w:t>
      </w:r>
      <w:r>
        <w:rPr>
          <w:rFonts w:asciiTheme="majorEastAsia" w:hAnsiTheme="majorEastAsia" w:eastAsiaTheme="majorEastAsia"/>
          <w:sz w:val="18"/>
        </w:rPr>
        <w:t>关注</w:t>
      </w:r>
      <w:r>
        <w:rPr>
          <w:rFonts w:hint="eastAsia" w:asciiTheme="majorEastAsia" w:hAnsiTheme="majorEastAsia" w:eastAsiaTheme="majorEastAsia"/>
          <w:sz w:val="18"/>
        </w:rPr>
        <w:t>+</w:t>
      </w:r>
      <w:r>
        <w:rPr>
          <w:rFonts w:asciiTheme="majorEastAsia" w:hAnsiTheme="majorEastAsia" w:eastAsiaTheme="majorEastAsia"/>
          <w:sz w:val="18"/>
        </w:rPr>
        <w:t>比较关注</w:t>
      </w:r>
    </w:p>
    <w:p>
      <w:pPr>
        <w:jc w:val="left"/>
        <w:rPr>
          <w:rFonts w:asciiTheme="majorEastAsia" w:hAnsiTheme="majorEastAsia" w:eastAsiaTheme="majorEastAsia"/>
          <w:sz w:val="18"/>
        </w:rPr>
      </w:pPr>
    </w:p>
    <w:p>
      <w:pPr>
        <w:jc w:val="left"/>
        <w:rPr>
          <w:rFonts w:asciiTheme="majorEastAsia" w:hAnsiTheme="majorEastAsia" w:eastAsiaTheme="majorEastAsia"/>
          <w:sz w:val="18"/>
        </w:rPr>
      </w:pPr>
    </w:p>
    <w:p>
      <w:pPr>
        <w:pStyle w:val="29"/>
        <w:spacing w:before="156" w:after="156"/>
      </w:pPr>
      <w:bookmarkStart w:id="103" w:name="_Toc503183076"/>
      <w:bookmarkStart w:id="104" w:name="_Toc499653968"/>
      <w:r>
        <w:rPr>
          <w:rFonts w:hint="eastAsia"/>
        </w:rPr>
        <w:t>（二）录用</w:t>
      </w:r>
      <w:r>
        <w:t>毕业生时注重因素</w:t>
      </w:r>
      <w:r>
        <w:rPr>
          <w:rFonts w:hint="eastAsia"/>
        </w:rPr>
        <w:t>分布</w:t>
      </w:r>
      <w:bookmarkEnd w:id="103"/>
      <w:bookmarkEnd w:id="104"/>
    </w:p>
    <w:p>
      <w:pPr>
        <w:pStyle w:val="21"/>
        <w:ind w:firstLine="480"/>
      </w:pPr>
      <w:r>
        <w:t>调研数据显示</w:t>
      </w:r>
      <w:r>
        <w:rPr>
          <w:rFonts w:hint="eastAsia"/>
        </w:rPr>
        <w:t>，</w:t>
      </w:r>
      <w:r>
        <w:rPr>
          <w:rFonts w:hint="eastAsia"/>
          <w:lang w:eastAsia="zh-CN"/>
        </w:rPr>
        <w:t>用人单位</w:t>
      </w:r>
      <w:r>
        <w:t>录用毕业生注重因素排名前三的分别是综合素质</w:t>
      </w:r>
      <w:r>
        <w:rPr>
          <w:rFonts w:hint="eastAsia"/>
        </w:rPr>
        <w:t>、</w:t>
      </w:r>
      <w:r>
        <w:t>所学专业</w:t>
      </w:r>
      <w:r>
        <w:rPr>
          <w:rFonts w:hint="eastAsia"/>
        </w:rPr>
        <w:t>、</w:t>
      </w:r>
      <w:r>
        <w:t>学习成绩</w:t>
      </w:r>
      <w:r>
        <w:rPr>
          <w:rFonts w:hint="eastAsia"/>
        </w:rPr>
        <w:t>，</w:t>
      </w:r>
      <w:r>
        <w:t>占比分别是</w:t>
      </w:r>
      <w:r>
        <w:rPr>
          <w:rFonts w:hint="eastAsia"/>
        </w:rPr>
        <w:t>23.16%、2</w:t>
      </w:r>
      <w:r>
        <w:t>1.05</w:t>
      </w:r>
      <w:r>
        <w:rPr>
          <w:rFonts w:hint="eastAsia"/>
        </w:rPr>
        <w:t>%、2</w:t>
      </w:r>
      <w:r>
        <w:t>0.00</w:t>
      </w:r>
      <w:r>
        <w:rPr>
          <w:rFonts w:hint="eastAsia"/>
        </w:rPr>
        <w:t>%。</w:t>
      </w:r>
    </w:p>
    <w:p>
      <w:pPr>
        <w:jc w:val="center"/>
      </w:pPr>
      <w:r>
        <w:drawing>
          <wp:inline distT="0" distB="0" distL="0" distR="0">
            <wp:extent cx="4572000" cy="2743200"/>
            <wp:effectExtent l="0" t="0" r="0" b="0"/>
            <wp:docPr id="207" name="图表 207"/>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6</w:t>
      </w:r>
      <w:r>
        <w:fldChar w:fldCharType="end"/>
      </w:r>
      <w:r>
        <w:t>用人单位录用毕业生时注重因素分布</w:t>
      </w:r>
    </w:p>
    <w:p>
      <w:pPr>
        <w:pStyle w:val="29"/>
        <w:spacing w:before="156" w:after="156"/>
      </w:pPr>
      <w:bookmarkStart w:id="105" w:name="_Toc503183077"/>
      <w:bookmarkStart w:id="106" w:name="_Toc499653969"/>
      <w:r>
        <w:rPr>
          <w:rFonts w:hint="eastAsia"/>
        </w:rPr>
        <w:t>（三）招聘</w:t>
      </w:r>
      <w:r>
        <w:t>毕业生时注重个人品质</w:t>
      </w:r>
      <w:r>
        <w:rPr>
          <w:rFonts w:hint="eastAsia"/>
        </w:rPr>
        <w:t>分布</w:t>
      </w:r>
      <w:bookmarkEnd w:id="105"/>
      <w:bookmarkEnd w:id="106"/>
    </w:p>
    <w:p>
      <w:pPr>
        <w:pStyle w:val="21"/>
        <w:ind w:firstLine="480"/>
      </w:pPr>
      <w:r>
        <w:t>调研数据显示</w:t>
      </w:r>
      <w:r>
        <w:rPr>
          <w:rFonts w:hint="eastAsia"/>
        </w:rPr>
        <w:t>，</w:t>
      </w:r>
      <w:r>
        <w:t>用人单位招聘毕业生注重个人品质排名前三的分别是敬业精神</w:t>
      </w:r>
      <w:r>
        <w:rPr>
          <w:rFonts w:hint="eastAsia"/>
        </w:rPr>
        <w:t>、</w:t>
      </w:r>
      <w:r>
        <w:t>有责任感</w:t>
      </w:r>
      <w:r>
        <w:rPr>
          <w:rFonts w:hint="eastAsia"/>
        </w:rPr>
        <w:t>、</w:t>
      </w:r>
      <w:r>
        <w:t>诚实守信</w:t>
      </w:r>
      <w:r>
        <w:rPr>
          <w:rFonts w:hint="eastAsia"/>
        </w:rPr>
        <w:t>，</w:t>
      </w:r>
      <w:r>
        <w:t>占比分别是</w:t>
      </w:r>
      <w:r>
        <w:rPr>
          <w:rFonts w:hint="eastAsia"/>
        </w:rPr>
        <w:t>20.42%、1</w:t>
      </w:r>
      <w:r>
        <w:t>9.72</w:t>
      </w:r>
      <w:r>
        <w:rPr>
          <w:rFonts w:hint="eastAsia"/>
        </w:rPr>
        <w:t>%、1</w:t>
      </w:r>
      <w:r>
        <w:t>7.30</w:t>
      </w:r>
      <w:r>
        <w:rPr>
          <w:rFonts w:hint="eastAsia"/>
        </w:rPr>
        <w:t>%。</w:t>
      </w:r>
    </w:p>
    <w:p>
      <w:pPr>
        <w:jc w:val="center"/>
        <w:rPr>
          <w:b/>
        </w:rPr>
      </w:pPr>
      <w:r>
        <w:drawing>
          <wp:inline distT="0" distB="0" distL="0" distR="0">
            <wp:extent cx="4572000" cy="2743200"/>
            <wp:effectExtent l="0" t="0" r="0" b="0"/>
            <wp:docPr id="208" name="图表 208"/>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7</w:t>
      </w:r>
      <w:r>
        <w:fldChar w:fldCharType="end"/>
      </w:r>
      <w:r>
        <w:t>用人单位招聘毕业生时注重个人品质分布</w:t>
      </w:r>
    </w:p>
    <w:p>
      <w:pPr>
        <w:pStyle w:val="23"/>
      </w:pPr>
    </w:p>
    <w:p>
      <w:pPr>
        <w:pStyle w:val="23"/>
      </w:pPr>
    </w:p>
    <w:p>
      <w:pPr>
        <w:pStyle w:val="29"/>
        <w:spacing w:before="156" w:after="156"/>
      </w:pPr>
      <w:bookmarkStart w:id="107" w:name="_Toc503183078"/>
      <w:bookmarkStart w:id="108" w:name="_Toc499653970"/>
      <w:r>
        <w:rPr>
          <w:rFonts w:hint="eastAsia"/>
        </w:rPr>
        <w:t>（四）招聘毕业生时注重</w:t>
      </w:r>
      <w:r>
        <w:t>专业知识</w:t>
      </w:r>
      <w:r>
        <w:rPr>
          <w:rFonts w:hint="eastAsia"/>
        </w:rPr>
        <w:t>分布</w:t>
      </w:r>
      <w:bookmarkEnd w:id="107"/>
      <w:bookmarkEnd w:id="108"/>
    </w:p>
    <w:p>
      <w:pPr>
        <w:pStyle w:val="21"/>
        <w:ind w:firstLine="480"/>
      </w:pPr>
      <w:r>
        <w:t>调研数据显示</w:t>
      </w:r>
      <w:r>
        <w:rPr>
          <w:rFonts w:hint="eastAsia"/>
        </w:rPr>
        <w:t>，</w:t>
      </w:r>
      <w:r>
        <w:t>用人单位招聘毕业生时注重专业知识排名前三的分别是专业理论基础</w:t>
      </w:r>
      <w:r>
        <w:rPr>
          <w:rFonts w:hint="eastAsia"/>
        </w:rPr>
        <w:t>、</w:t>
      </w:r>
      <w:r>
        <w:t>专业应用技能</w:t>
      </w:r>
      <w:r>
        <w:rPr>
          <w:rFonts w:hint="eastAsia"/>
        </w:rPr>
        <w:t>、</w:t>
      </w:r>
      <w:r>
        <w:t>职业资格证书</w:t>
      </w:r>
      <w:r>
        <w:rPr>
          <w:rFonts w:hint="eastAsia"/>
        </w:rPr>
        <w:t>，</w:t>
      </w:r>
      <w:r>
        <w:t>占比分别是</w:t>
      </w:r>
      <w:r>
        <w:rPr>
          <w:rFonts w:hint="eastAsia"/>
        </w:rPr>
        <w:t>25.00%、1</w:t>
      </w:r>
      <w:r>
        <w:t>8</w:t>
      </w:r>
      <w:r>
        <w:rPr>
          <w:rFonts w:hint="eastAsia"/>
        </w:rPr>
        <w:t>.38%、1</w:t>
      </w:r>
      <w:r>
        <w:t>5.44</w:t>
      </w:r>
      <w:r>
        <w:rPr>
          <w:rFonts w:hint="eastAsia"/>
        </w:rPr>
        <w:t>%。因此学</w:t>
      </w:r>
      <w:r>
        <w:rPr>
          <w:rFonts w:hint="eastAsia"/>
          <w:lang w:eastAsia="zh-CN"/>
        </w:rPr>
        <w:t>院</w:t>
      </w:r>
      <w:r>
        <w:rPr>
          <w:rFonts w:hint="eastAsia"/>
        </w:rPr>
        <w:t>在授予专业基础知识的同时，还应加强对毕业生专业技能的培训。</w:t>
      </w:r>
    </w:p>
    <w:p>
      <w:pPr>
        <w:jc w:val="center"/>
        <w:rPr>
          <w:b/>
        </w:rPr>
      </w:pPr>
      <w:r>
        <w:drawing>
          <wp:inline distT="0" distB="0" distL="0" distR="0">
            <wp:extent cx="4572000" cy="2743200"/>
            <wp:effectExtent l="0" t="0" r="0" b="0"/>
            <wp:docPr id="209" name="图表 209"/>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8</w:t>
      </w:r>
      <w:r>
        <w:fldChar w:fldCharType="end"/>
      </w:r>
      <w:r>
        <w:t>用人单位招聘毕业生时注重专业知识分布</w:t>
      </w:r>
    </w:p>
    <w:p>
      <w:pPr>
        <w:pStyle w:val="19"/>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left"/>
        <w:textAlignment w:val="auto"/>
        <w:outlineLvl w:val="1"/>
      </w:pPr>
      <w:bookmarkStart w:id="109" w:name="_Toc503183079"/>
      <w:bookmarkStart w:id="110" w:name="_Toc499653971"/>
      <w:r>
        <w:rPr>
          <w:rFonts w:hint="eastAsia"/>
        </w:rPr>
        <w:t>三</w:t>
      </w:r>
      <w:r>
        <w:t>、评价及反馈</w:t>
      </w:r>
      <w:bookmarkEnd w:id="109"/>
      <w:bookmarkEnd w:id="110"/>
    </w:p>
    <w:p>
      <w:pPr>
        <w:pStyle w:val="29"/>
        <w:spacing w:before="156" w:after="156"/>
      </w:pPr>
      <w:bookmarkStart w:id="111" w:name="_Toc499653972"/>
      <w:bookmarkStart w:id="112" w:name="_Toc503183080"/>
      <w:r>
        <w:rPr>
          <w:rFonts w:hint="eastAsia"/>
        </w:rPr>
        <w:t>（一）对</w:t>
      </w:r>
      <w:r>
        <w:t>毕业生的评价</w:t>
      </w:r>
      <w:bookmarkEnd w:id="111"/>
      <w:bookmarkEnd w:id="112"/>
    </w:p>
    <w:p>
      <w:pPr>
        <w:spacing w:beforeLines="50" w:afterLines="50" w:line="360" w:lineRule="auto"/>
        <w:jc w:val="left"/>
        <w:outlineLvl w:val="3"/>
        <w:rPr>
          <w:rFonts w:ascii="宋体" w:eastAsia="宋体"/>
          <w:b/>
          <w:sz w:val="24"/>
        </w:rPr>
      </w:pPr>
      <w:r>
        <w:rPr>
          <w:rFonts w:hint="eastAsia" w:ascii="宋体" w:eastAsia="宋体"/>
          <w:b/>
          <w:sz w:val="24"/>
        </w:rPr>
        <w:t>1.对毕业生</w:t>
      </w:r>
      <w:r>
        <w:rPr>
          <w:rFonts w:ascii="宋体" w:eastAsia="宋体"/>
          <w:b/>
          <w:sz w:val="24"/>
        </w:rPr>
        <w:t>的认可度</w:t>
      </w:r>
    </w:p>
    <w:p>
      <w:pPr>
        <w:pStyle w:val="21"/>
        <w:ind w:firstLine="480"/>
      </w:pPr>
      <w:r>
        <w:rPr>
          <w:rFonts w:hint="eastAsia"/>
        </w:rPr>
        <w:t>调研数据显示，用人单位对毕业生的认可度较高，为97.98%，其中“非常认可”占比33.33%。说明学</w:t>
      </w:r>
      <w:r>
        <w:rPr>
          <w:rFonts w:hint="eastAsia"/>
          <w:lang w:eastAsia="zh-CN"/>
        </w:rPr>
        <w:t>院</w:t>
      </w:r>
      <w:r>
        <w:rPr>
          <w:rFonts w:hint="eastAsia"/>
        </w:rPr>
        <w:t>人才培养工作得到用人单位的普遍认可。</w:t>
      </w:r>
    </w:p>
    <w:p>
      <w:pPr>
        <w:jc w:val="center"/>
      </w:pPr>
      <w:r>
        <w:drawing>
          <wp:inline distT="0" distB="0" distL="0" distR="0">
            <wp:extent cx="4572000" cy="2743200"/>
            <wp:effectExtent l="0" t="0" r="0" b="0"/>
            <wp:docPr id="210" name="图表 210"/>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9</w:t>
      </w:r>
      <w:r>
        <w:fldChar w:fldCharType="end"/>
      </w:r>
      <w:r>
        <w:t>用人单位对毕业生的认可度</w:t>
      </w:r>
    </w:p>
    <w:p>
      <w:pPr>
        <w:jc w:val="left"/>
        <w:rPr>
          <w:rFonts w:asciiTheme="minorEastAsia" w:hAnsiTheme="minorEastAsia"/>
          <w:sz w:val="18"/>
        </w:rPr>
      </w:pPr>
      <w:r>
        <w:rPr>
          <w:rFonts w:asciiTheme="minorEastAsia" w:hAnsiTheme="minorEastAsia"/>
          <w:sz w:val="18"/>
        </w:rPr>
        <w:t>备注</w:t>
      </w:r>
      <w:r>
        <w:rPr>
          <w:rFonts w:hint="eastAsia" w:asciiTheme="minorEastAsia" w:hAnsiTheme="minorEastAsia"/>
          <w:sz w:val="18"/>
        </w:rPr>
        <w:t>：</w:t>
      </w:r>
      <w:r>
        <w:rPr>
          <w:rFonts w:asciiTheme="minorEastAsia" w:hAnsiTheme="minorEastAsia"/>
          <w:sz w:val="18"/>
        </w:rPr>
        <w:t>认可度</w:t>
      </w:r>
      <w:r>
        <w:rPr>
          <w:rFonts w:hint="eastAsia" w:asciiTheme="minorEastAsia" w:hAnsiTheme="minorEastAsia"/>
          <w:sz w:val="18"/>
        </w:rPr>
        <w:t>=</w:t>
      </w:r>
      <w:r>
        <w:rPr>
          <w:rFonts w:asciiTheme="minorEastAsia" w:hAnsiTheme="minorEastAsia"/>
          <w:sz w:val="18"/>
        </w:rPr>
        <w:t>非常认可</w:t>
      </w:r>
      <w:r>
        <w:rPr>
          <w:rFonts w:hint="eastAsia" w:asciiTheme="minorEastAsia" w:hAnsiTheme="minorEastAsia"/>
          <w:sz w:val="18"/>
        </w:rPr>
        <w:t>+</w:t>
      </w:r>
      <w:r>
        <w:rPr>
          <w:rFonts w:asciiTheme="minorEastAsia" w:hAnsiTheme="minorEastAsia"/>
          <w:sz w:val="18"/>
        </w:rPr>
        <w:t>比较认可</w:t>
      </w:r>
      <w:r>
        <w:rPr>
          <w:rFonts w:hint="eastAsia" w:asciiTheme="minorEastAsia" w:hAnsiTheme="minorEastAsia"/>
          <w:sz w:val="18"/>
        </w:rPr>
        <w:t>+</w:t>
      </w:r>
      <w:r>
        <w:rPr>
          <w:rFonts w:asciiTheme="minorEastAsia" w:hAnsiTheme="minorEastAsia"/>
          <w:sz w:val="18"/>
        </w:rPr>
        <w:t>认可</w:t>
      </w:r>
    </w:p>
    <w:p>
      <w:pPr>
        <w:spacing w:beforeLines="50" w:afterLines="50" w:line="360" w:lineRule="auto"/>
        <w:jc w:val="left"/>
        <w:outlineLvl w:val="3"/>
        <w:rPr>
          <w:rFonts w:ascii="宋体" w:eastAsia="宋体"/>
          <w:b/>
          <w:sz w:val="24"/>
        </w:rPr>
      </w:pPr>
      <w:r>
        <w:rPr>
          <w:rFonts w:hint="eastAsia" w:ascii="宋体" w:eastAsia="宋体"/>
          <w:b/>
          <w:sz w:val="24"/>
        </w:rPr>
        <w:t>2.对</w:t>
      </w:r>
      <w:r>
        <w:rPr>
          <w:rFonts w:ascii="宋体" w:eastAsia="宋体"/>
          <w:b/>
          <w:sz w:val="24"/>
        </w:rPr>
        <w:t>毕业生</w:t>
      </w:r>
      <w:r>
        <w:rPr>
          <w:rFonts w:hint="eastAsia" w:ascii="宋体" w:eastAsia="宋体"/>
          <w:b/>
          <w:sz w:val="24"/>
        </w:rPr>
        <w:t>能力</w:t>
      </w:r>
      <w:r>
        <w:rPr>
          <w:rFonts w:ascii="宋体" w:eastAsia="宋体"/>
          <w:b/>
          <w:sz w:val="24"/>
        </w:rPr>
        <w:t>素质的评价</w:t>
      </w:r>
    </w:p>
    <w:p>
      <w:pPr>
        <w:pStyle w:val="21"/>
        <w:ind w:firstLine="480"/>
      </w:pPr>
      <w:r>
        <w:t>调研数据显示</w:t>
      </w:r>
      <w:r>
        <w:rPr>
          <w:rFonts w:hint="eastAsia"/>
        </w:rPr>
        <w:t>，</w:t>
      </w:r>
      <w:r>
        <w:t>用人单位对学生各项能力素质评价均在</w:t>
      </w:r>
      <w:r>
        <w:rPr>
          <w:rFonts w:hint="eastAsia"/>
        </w:rPr>
        <w:t>4.20分以上。其中观察能力最高，为4.65分；其次是新知识接受能力，为4.60分；而对逻辑思维能力、抗压抗挫</w:t>
      </w:r>
      <w:r>
        <w:t>能力评价</w:t>
      </w:r>
      <w:r>
        <w:rPr>
          <w:rFonts w:hint="eastAsia"/>
        </w:rPr>
        <w:t>相对较低，分别为4.26分和4.34分。逻辑思维能力可以提高大学生运用专业知识的能力，促使大学生更好地提高自身的综合素质，因此学</w:t>
      </w:r>
      <w:r>
        <w:rPr>
          <w:rFonts w:hint="eastAsia"/>
          <w:lang w:eastAsia="zh-CN"/>
        </w:rPr>
        <w:t>院</w:t>
      </w:r>
      <w:r>
        <w:rPr>
          <w:rFonts w:hint="eastAsia"/>
        </w:rPr>
        <w:t>应进一步加强对大学生逻辑思维能力的培养。</w:t>
      </w:r>
    </w:p>
    <w:p>
      <w:pPr>
        <w:widowControl/>
        <w:autoSpaceDE w:val="0"/>
        <w:autoSpaceDN w:val="0"/>
        <w:adjustRightInd w:val="0"/>
        <w:spacing w:beforeLines="50" w:afterLines="50" w:line="360" w:lineRule="auto"/>
        <w:jc w:val="center"/>
        <w:rPr>
          <w:rFonts w:eastAsia="宋体" w:cs="宋体" w:asciiTheme="minorEastAsia" w:hAnsiTheme="minorEastAsia"/>
          <w:color w:val="000000" w:themeColor="text1"/>
          <w:kern w:val="0"/>
          <w:sz w:val="24"/>
          <w:szCs w:val="28"/>
        </w:rPr>
      </w:pPr>
      <w:r>
        <w:rPr>
          <w:rFonts w:eastAsia="宋体" w:cs="宋体" w:asciiTheme="minorEastAsia" w:hAnsiTheme="minorEastAsia"/>
          <w:color w:val="000000" w:themeColor="text1"/>
          <w:kern w:val="0"/>
          <w:sz w:val="24"/>
          <w:szCs w:val="28"/>
        </w:rPr>
        <w:drawing>
          <wp:inline distT="0" distB="0" distL="0" distR="0">
            <wp:extent cx="4572000" cy="2667000"/>
            <wp:effectExtent l="0" t="0" r="0" b="0"/>
            <wp:docPr id="211" name="图表 2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10</w:t>
      </w:r>
      <w:r>
        <w:fldChar w:fldCharType="end"/>
      </w:r>
      <w:r>
        <w:t>用人单位对毕业生能力素质的评价</w:t>
      </w:r>
    </w:p>
    <w:p>
      <w:pPr>
        <w:pStyle w:val="23"/>
      </w:pPr>
    </w:p>
    <w:p>
      <w:pPr>
        <w:pStyle w:val="29"/>
        <w:spacing w:before="156" w:after="156"/>
      </w:pPr>
      <w:bookmarkStart w:id="113" w:name="_Toc499653973"/>
      <w:bookmarkStart w:id="114" w:name="_Toc503183081"/>
      <w:r>
        <w:rPr>
          <w:rFonts w:hint="eastAsia"/>
        </w:rPr>
        <w:t>（二）对</w:t>
      </w:r>
      <w:r>
        <w:t>学校就业服务的评价</w:t>
      </w:r>
      <w:bookmarkEnd w:id="113"/>
      <w:bookmarkEnd w:id="114"/>
    </w:p>
    <w:p>
      <w:pPr>
        <w:spacing w:beforeLines="50" w:afterLines="50" w:line="360" w:lineRule="auto"/>
        <w:jc w:val="left"/>
        <w:outlineLvl w:val="3"/>
        <w:rPr>
          <w:rFonts w:ascii="宋体" w:eastAsia="宋体"/>
          <w:b/>
          <w:sz w:val="24"/>
        </w:rPr>
      </w:pPr>
      <w:r>
        <w:rPr>
          <w:rFonts w:ascii="宋体" w:eastAsia="宋体"/>
          <w:b/>
          <w:sz w:val="24"/>
        </w:rPr>
        <w:t>1.</w:t>
      </w:r>
      <w:r>
        <w:rPr>
          <w:rFonts w:hint="eastAsia" w:ascii="宋体" w:eastAsia="宋体"/>
          <w:b/>
          <w:sz w:val="24"/>
        </w:rPr>
        <w:t>对</w:t>
      </w:r>
      <w:r>
        <w:rPr>
          <w:rFonts w:ascii="宋体" w:eastAsia="宋体"/>
          <w:b/>
          <w:sz w:val="24"/>
        </w:rPr>
        <w:t>学</w:t>
      </w:r>
      <w:r>
        <w:rPr>
          <w:rFonts w:hint="eastAsia" w:ascii="宋体" w:eastAsia="宋体"/>
          <w:b/>
          <w:sz w:val="24"/>
          <w:lang w:eastAsia="zh-CN"/>
        </w:rPr>
        <w:t>院</w:t>
      </w:r>
      <w:r>
        <w:rPr>
          <w:rFonts w:ascii="宋体" w:eastAsia="宋体"/>
          <w:b/>
          <w:sz w:val="24"/>
        </w:rPr>
        <w:t>就业服务的评价</w:t>
      </w:r>
    </w:p>
    <w:p>
      <w:pPr>
        <w:pStyle w:val="21"/>
        <w:ind w:firstLine="480"/>
      </w:pPr>
      <w:r>
        <w:t>调研数据显示</w:t>
      </w:r>
      <w:r>
        <w:rPr>
          <w:rFonts w:hint="eastAsia"/>
        </w:rPr>
        <w:t>，</w:t>
      </w:r>
      <w:r>
        <w:t>用人单位对学校就业服务各项工作评价均在</w:t>
      </w:r>
      <w:r>
        <w:rPr>
          <w:rFonts w:hint="eastAsia"/>
        </w:rPr>
        <w:t>4.20分以上。其中招聘信息发布评价最高，为4.62分；其次是毕业生鉴定与推荐工作，为4.43分；而对就业手续办理工作评价相对较低，为4.26分。因此学</w:t>
      </w:r>
      <w:r>
        <w:rPr>
          <w:rFonts w:hint="eastAsia"/>
          <w:lang w:eastAsia="zh-CN"/>
        </w:rPr>
        <w:t>院</w:t>
      </w:r>
      <w:r>
        <w:rPr>
          <w:rFonts w:hint="eastAsia"/>
        </w:rPr>
        <w:t>应进一步简化就业手续办理工作，缩短办理时间，为用人单位招聘毕业生提供便利。</w:t>
      </w:r>
    </w:p>
    <w:p>
      <w:pPr>
        <w:jc w:val="center"/>
      </w:pPr>
      <w:r>
        <w:drawing>
          <wp:inline distT="0" distB="0" distL="0" distR="0">
            <wp:extent cx="4572000" cy="2667000"/>
            <wp:effectExtent l="0" t="0" r="0" b="0"/>
            <wp:docPr id="212" name="图表 212"/>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11</w:t>
      </w:r>
      <w:r>
        <w:fldChar w:fldCharType="end"/>
      </w:r>
      <w:r>
        <w:t>用人单位对学</w:t>
      </w:r>
      <w:r>
        <w:rPr>
          <w:rFonts w:hint="eastAsia"/>
          <w:lang w:eastAsia="zh-CN"/>
        </w:rPr>
        <w:t>院</w:t>
      </w:r>
      <w:r>
        <w:t>就业服务的评价</w:t>
      </w:r>
    </w:p>
    <w:p>
      <w:pPr>
        <w:spacing w:beforeLines="50" w:afterLines="50" w:line="360" w:lineRule="auto"/>
        <w:jc w:val="left"/>
        <w:outlineLvl w:val="3"/>
        <w:rPr>
          <w:rFonts w:ascii="宋体" w:eastAsia="宋体"/>
          <w:b/>
          <w:sz w:val="24"/>
        </w:rPr>
      </w:pPr>
      <w:r>
        <w:rPr>
          <w:rFonts w:hint="eastAsia" w:ascii="宋体" w:eastAsia="宋体"/>
          <w:b/>
          <w:sz w:val="24"/>
        </w:rPr>
        <w:t>2.对</w:t>
      </w:r>
      <w:r>
        <w:rPr>
          <w:rFonts w:ascii="宋体" w:eastAsia="宋体"/>
          <w:b/>
          <w:sz w:val="24"/>
        </w:rPr>
        <w:t>学</w:t>
      </w:r>
      <w:r>
        <w:rPr>
          <w:rFonts w:hint="eastAsia" w:ascii="宋体" w:eastAsia="宋体"/>
          <w:b/>
          <w:sz w:val="24"/>
          <w:lang w:eastAsia="zh-CN"/>
        </w:rPr>
        <w:t>院</w:t>
      </w:r>
      <w:r>
        <w:rPr>
          <w:rFonts w:ascii="宋体" w:eastAsia="宋体"/>
          <w:b/>
          <w:sz w:val="24"/>
        </w:rPr>
        <w:t>就业服务的反馈</w:t>
      </w:r>
    </w:p>
    <w:p>
      <w:pPr>
        <w:pStyle w:val="21"/>
        <w:ind w:firstLine="480"/>
      </w:pPr>
      <w:r>
        <w:t>调研数据显示</w:t>
      </w:r>
      <w:r>
        <w:rPr>
          <w:rFonts w:hint="eastAsia"/>
        </w:rPr>
        <w:t>，</w:t>
      </w:r>
      <w:r>
        <w:t>用人单位认为学</w:t>
      </w:r>
      <w:r>
        <w:rPr>
          <w:rFonts w:hint="eastAsia"/>
          <w:lang w:eastAsia="zh-CN"/>
        </w:rPr>
        <w:t>院</w:t>
      </w:r>
      <w:r>
        <w:t>就业服务最应改进的是增加校园招聘会场次</w:t>
      </w:r>
      <w:r>
        <w:rPr>
          <w:rFonts w:hint="eastAsia"/>
        </w:rPr>
        <w:t>（30.08%）；其次是及时更新发布招聘信息（22.88%）；第三是加强应届毕业生就业指导（22.46%）。</w:t>
      </w:r>
    </w:p>
    <w:p>
      <w:pPr>
        <w:jc w:val="center"/>
      </w:pPr>
      <w:r>
        <w:drawing>
          <wp:inline distT="0" distB="0" distL="0" distR="0">
            <wp:extent cx="4572000" cy="2667000"/>
            <wp:effectExtent l="0" t="0" r="0" b="0"/>
            <wp:docPr id="213" name="图表 213"/>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pPr>
        <w:pStyle w:val="23"/>
      </w:pPr>
      <w:r>
        <w:rPr>
          <w:rFonts w:hint="eastAsia"/>
        </w:rPr>
        <w:t>图6-</w:t>
      </w:r>
      <w:r>
        <w:fldChar w:fldCharType="begin"/>
      </w:r>
      <w:r>
        <w:rPr>
          <w:rFonts w:hint="eastAsia"/>
        </w:rPr>
        <w:instrText xml:space="preserve">SEQ 图6- \* ARABIC</w:instrText>
      </w:r>
      <w:r>
        <w:fldChar w:fldCharType="separate"/>
      </w:r>
      <w:r>
        <w:t>12</w:t>
      </w:r>
      <w:r>
        <w:fldChar w:fldCharType="end"/>
      </w:r>
      <w:r>
        <w:rPr>
          <w:rFonts w:hint="eastAsia"/>
        </w:rPr>
        <w:t>用人单位对学</w:t>
      </w:r>
      <w:r>
        <w:rPr>
          <w:rFonts w:hint="eastAsia"/>
          <w:lang w:eastAsia="zh-CN"/>
        </w:rPr>
        <w:t>院</w:t>
      </w:r>
      <w:r>
        <w:rPr>
          <w:rFonts w:hint="eastAsia"/>
        </w:rPr>
        <w:t>就业服务的反馈</w:t>
      </w:r>
    </w:p>
    <w:p>
      <w:pPr>
        <w:pStyle w:val="23"/>
      </w:pPr>
    </w:p>
    <w:p>
      <w:pPr>
        <w:pStyle w:val="23"/>
      </w:pPr>
    </w:p>
    <w:p>
      <w:pPr>
        <w:pStyle w:val="23"/>
      </w:pPr>
    </w:p>
    <w:p>
      <w:pPr>
        <w:pStyle w:val="23"/>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pStyle w:val="21"/>
        <w:ind w:firstLine="480"/>
      </w:pP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0" w:firstLineChars="0"/>
        <w:jc w:val="center"/>
        <w:textAlignment w:val="auto"/>
        <w:outlineLvl w:val="0"/>
        <w:rPr>
          <w:rFonts w:hint="eastAsia" w:ascii="宋体" w:hAnsi="宋体" w:eastAsia="宋体" w:cs="宋体"/>
          <w:b/>
          <w:bCs/>
          <w:kern w:val="2"/>
          <w:sz w:val="32"/>
          <w:szCs w:val="32"/>
          <w:lang w:val="zh-CN" w:eastAsia="zh-CN" w:bidi="ar-SA"/>
        </w:rPr>
      </w:pPr>
      <w:r>
        <w:rPr>
          <w:rFonts w:hint="eastAsia" w:ascii="宋体" w:hAnsi="宋体" w:eastAsia="宋体" w:cs="宋体"/>
          <w:b/>
          <w:bCs/>
          <w:kern w:val="2"/>
          <w:sz w:val="32"/>
          <w:szCs w:val="32"/>
          <w:lang w:val="zh-CN" w:eastAsia="zh-CN" w:bidi="ar-SA"/>
        </w:rPr>
        <w:t>第七章 就业举措</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就业工作是最大的民生工程，也是衡量办学质量的标尺。2017年，学院主要采取以下措施促进就业创业工作：</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1"/>
        <w:rPr>
          <w:rFonts w:hint="eastAsia" w:asciiTheme="minorEastAsia" w:hAnsiTheme="minorHAnsi" w:eastAsiaTheme="minorEastAsia" w:cstheme="minorBidi"/>
          <w:b/>
          <w:bCs/>
          <w:kern w:val="2"/>
          <w:sz w:val="28"/>
          <w:szCs w:val="28"/>
          <w:lang w:val="zh-CN" w:eastAsia="zh-CN" w:bidi="ar-SA"/>
        </w:rPr>
      </w:pPr>
      <w:r>
        <w:rPr>
          <w:rFonts w:hint="eastAsia" w:asciiTheme="minorEastAsia" w:hAnsiTheme="minorHAnsi" w:eastAsiaTheme="minorEastAsia" w:cstheme="minorBidi"/>
          <w:b/>
          <w:bCs/>
          <w:kern w:val="2"/>
          <w:sz w:val="28"/>
          <w:szCs w:val="28"/>
          <w:lang w:val="zh-CN" w:eastAsia="zh-CN" w:bidi="ar-SA"/>
        </w:rPr>
        <w:t>一、逐步健全就业创业工作体制</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修订和完善了相关文件和制度，制定了《2017年毕业生就业工作方案》，充分发挥校园CRP平台、91w11m高校就业智能网络服务平台等网络平台作用，向社会发布《2017届毕业生就业工作联系册》，全员参与，全面设计，全程指导，全力推动，不断加强就业创业日常管理、队伍管理和基地管理，切实为学生提供生涯规划制定、就业技能培训、创新创业教育、创业项目扶持、就业市场建设、就业信息发布和社团活动组织等优质服务。</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1"/>
        <w:rPr>
          <w:rFonts w:hint="eastAsia" w:asciiTheme="minorEastAsia" w:hAnsiTheme="minorHAnsi" w:eastAsiaTheme="minorEastAsia" w:cstheme="minorBidi"/>
          <w:b/>
          <w:bCs/>
          <w:kern w:val="2"/>
          <w:sz w:val="28"/>
          <w:szCs w:val="28"/>
          <w:lang w:val="zh-CN" w:eastAsia="zh-CN" w:bidi="ar-SA"/>
        </w:rPr>
      </w:pPr>
      <w:r>
        <w:rPr>
          <w:rFonts w:hint="eastAsia" w:asciiTheme="minorEastAsia" w:hAnsiTheme="minorHAnsi" w:eastAsiaTheme="minorEastAsia" w:cstheme="minorBidi"/>
          <w:b/>
          <w:bCs/>
          <w:kern w:val="2"/>
          <w:sz w:val="28"/>
          <w:szCs w:val="28"/>
          <w:lang w:val="zh-CN" w:eastAsia="zh-CN" w:bidi="ar-SA"/>
        </w:rPr>
        <w:t>二、认真完善就业创业工作机制</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落实“一把手”工程和“学院、二级学院、班级”三级联动工作机制，将就业创业工作纳入二级学院工作重要内容，确保就业创业工作机构、人员、经费、场地落实。</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1"/>
        <w:rPr>
          <w:rFonts w:hint="eastAsia" w:asciiTheme="minorEastAsia" w:hAnsiTheme="minorHAnsi" w:eastAsiaTheme="minorEastAsia" w:cstheme="minorBidi"/>
          <w:b/>
          <w:bCs/>
          <w:kern w:val="2"/>
          <w:sz w:val="28"/>
          <w:szCs w:val="28"/>
          <w:lang w:val="zh-CN" w:eastAsia="zh-CN" w:bidi="ar-SA"/>
        </w:rPr>
      </w:pPr>
      <w:r>
        <w:rPr>
          <w:rFonts w:hint="eastAsia" w:asciiTheme="minorEastAsia" w:hAnsiTheme="minorHAnsi" w:eastAsiaTheme="minorEastAsia" w:cstheme="minorBidi"/>
          <w:b/>
          <w:bCs/>
          <w:kern w:val="2"/>
          <w:sz w:val="28"/>
          <w:szCs w:val="28"/>
          <w:lang w:val="zh-CN" w:eastAsia="zh-CN" w:bidi="ar-SA"/>
        </w:rPr>
        <w:t>三、切实加强就业创业指导服务</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将就业创业指导课作为必修课程纳入人才培养方案，成立就业创业课程教研室，每月开展2次教研活动，保障就业创业教育扎实有效。进一步加强创业孵化基地软硬件建设，进一步提升就业创业指导能力。与校企合作单位紧密联系，广泛收集就业信息，组织企业进校招聘，分专业开展实习就业双选会共计17场，保障了2014级学生70%以上安排实习就业。</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1"/>
        <w:rPr>
          <w:rFonts w:hint="eastAsia" w:asciiTheme="minorEastAsia" w:hAnsiTheme="minorHAnsi" w:eastAsiaTheme="minorEastAsia" w:cstheme="minorBidi"/>
          <w:b/>
          <w:bCs/>
          <w:kern w:val="2"/>
          <w:sz w:val="28"/>
          <w:szCs w:val="28"/>
          <w:lang w:val="zh-CN" w:eastAsia="zh-CN" w:bidi="ar-SA"/>
        </w:rPr>
      </w:pPr>
      <w:r>
        <w:rPr>
          <w:rFonts w:hint="eastAsia" w:asciiTheme="minorEastAsia" w:hAnsiTheme="minorHAnsi" w:eastAsiaTheme="minorEastAsia" w:cstheme="minorBidi"/>
          <w:b/>
          <w:bCs/>
          <w:kern w:val="2"/>
          <w:sz w:val="28"/>
          <w:szCs w:val="28"/>
          <w:lang w:val="zh-CN" w:eastAsia="zh-CN" w:bidi="ar-SA"/>
        </w:rPr>
        <w:t>四、不断促进毕业生在鄂在仙就业</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en-US" w:eastAsia="zh-CN" w:bidi="ar-SA"/>
        </w:rPr>
      </w:pPr>
      <w:r>
        <w:rPr>
          <w:rFonts w:hint="eastAsia" w:asciiTheme="minorEastAsia" w:hAnsiTheme="minorHAnsi" w:eastAsiaTheme="minorEastAsia" w:cstheme="minorBidi"/>
          <w:kern w:val="2"/>
          <w:sz w:val="24"/>
          <w:szCs w:val="22"/>
          <w:lang w:val="zh-CN" w:eastAsia="zh-CN" w:bidi="ar-SA"/>
        </w:rPr>
        <w:t>认真落实省委人才“二十条”和“我选湖北”计划及仙桃市委、市政府《关于实施“我选湖北</w:t>
      </w:r>
      <w:r>
        <w:rPr>
          <w:rFonts w:hint="eastAsia" w:asciiTheme="minorEastAsia" w:hAnsiTheme="minorHAnsi" w:eastAsiaTheme="minorEastAsia" w:cstheme="minorBidi"/>
          <w:kern w:val="2"/>
          <w:sz w:val="24"/>
          <w:szCs w:val="22"/>
          <w:lang w:val="en-US" w:eastAsia="zh-CN" w:bidi="ar-SA"/>
        </w:rPr>
        <w:t>·筑梦仙桃”计划 促进大学生在仙就业创业的意见》精神，积极宣传政策，认真筛选对象，毕业生纷纷响应，留在湖北工作毕业生总计2108人，留在仙桃工作毕业生达660人，并为126名在仙桃实习就业毕业生申请了就业补贴。</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1"/>
        <w:rPr>
          <w:rFonts w:hint="eastAsia" w:asciiTheme="minorEastAsia" w:hAnsiTheme="minorHAnsi" w:eastAsiaTheme="minorEastAsia" w:cstheme="minorBidi"/>
          <w:b/>
          <w:bCs/>
          <w:kern w:val="2"/>
          <w:sz w:val="28"/>
          <w:szCs w:val="28"/>
          <w:lang w:val="zh-CN" w:eastAsia="zh-CN" w:bidi="ar-SA"/>
        </w:rPr>
      </w:pPr>
      <w:r>
        <w:rPr>
          <w:rFonts w:hint="eastAsia" w:asciiTheme="minorEastAsia" w:hAnsiTheme="minorHAnsi" w:eastAsiaTheme="minorEastAsia" w:cstheme="minorBidi"/>
          <w:b/>
          <w:bCs/>
          <w:kern w:val="2"/>
          <w:sz w:val="28"/>
          <w:szCs w:val="28"/>
          <w:lang w:val="zh-CN" w:eastAsia="zh-CN" w:bidi="ar-SA"/>
        </w:rPr>
        <w:t>五、扎实做好特殊群体学生就业帮扶</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真心关爱家庭经济困难毕业生、残疾毕业生和少数民族毕业生，学生入学即建立贫困生档案数据库，实施帮扶对象导师制，在生活、学习和就业等方面开展“一对一”指导服务，为贫困学生申请就业补贴，帮助他们顺利就业，做到离校不离心、服务不断线。</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1"/>
        <w:rPr>
          <w:rFonts w:hint="eastAsia" w:asciiTheme="minorEastAsia" w:hAnsiTheme="minorHAnsi" w:eastAsiaTheme="minorEastAsia" w:cstheme="minorBidi"/>
          <w:b/>
          <w:bCs/>
          <w:kern w:val="2"/>
          <w:sz w:val="28"/>
          <w:szCs w:val="28"/>
          <w:lang w:val="zh-CN" w:eastAsia="zh-CN" w:bidi="ar-SA"/>
        </w:rPr>
      </w:pPr>
      <w:r>
        <w:rPr>
          <w:rFonts w:hint="eastAsia" w:asciiTheme="minorEastAsia" w:hAnsiTheme="minorHAnsi" w:eastAsiaTheme="minorEastAsia" w:cstheme="minorBidi"/>
          <w:b/>
          <w:bCs/>
          <w:kern w:val="2"/>
          <w:sz w:val="28"/>
          <w:szCs w:val="28"/>
          <w:lang w:val="zh-CN" w:eastAsia="zh-CN" w:bidi="ar-SA"/>
        </w:rPr>
        <w:t>六、有效开展基层就业统计培训检查</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重视就业信息统计工作，在全院范围内对就业工作人员进行业务培训，提升就业统计工作人员的业务能力，在学生就业手续办理、就业材料回收等工作中做到制度不走样、学生零投诉。</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1"/>
        <w:rPr>
          <w:rFonts w:hint="eastAsia" w:asciiTheme="minorEastAsia" w:hAnsiTheme="minorHAnsi" w:eastAsiaTheme="minorEastAsia" w:cstheme="minorBidi"/>
          <w:b/>
          <w:bCs/>
          <w:kern w:val="2"/>
          <w:sz w:val="28"/>
          <w:szCs w:val="28"/>
          <w:lang w:val="zh-CN" w:eastAsia="zh-CN" w:bidi="ar-SA"/>
        </w:rPr>
      </w:pPr>
      <w:r>
        <w:rPr>
          <w:rFonts w:hint="eastAsia" w:asciiTheme="minorEastAsia" w:hAnsiTheme="minorHAnsi" w:eastAsiaTheme="minorEastAsia" w:cstheme="minorBidi"/>
          <w:b/>
          <w:bCs/>
          <w:kern w:val="2"/>
          <w:sz w:val="28"/>
          <w:szCs w:val="28"/>
          <w:lang w:val="zh-CN" w:eastAsia="zh-CN" w:bidi="ar-SA"/>
        </w:rPr>
        <w:t>七、严格执行教育部“四不准”规定</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成立了由毕办牵头，各二级学院就业工作负责人和就业指导教师组成的专项核查小组，确保教育部“四不准”规定的严格执行。</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zh-CN" w:eastAsia="zh-CN" w:bidi="ar-SA"/>
        </w:rPr>
      </w:pPr>
    </w:p>
    <w:p>
      <w:pPr>
        <w:pStyle w:val="21"/>
        <w:keepNext w:val="0"/>
        <w:keepLines w:val="0"/>
        <w:pageBreakBefore w:val="0"/>
        <w:widowControl w:val="0"/>
        <w:kinsoku/>
        <w:wordWrap/>
        <w:overflowPunct/>
        <w:topLinePunct w:val="0"/>
        <w:bidi w:val="0"/>
        <w:snapToGrid/>
        <w:spacing w:before="0" w:after="0" w:line="360" w:lineRule="auto"/>
        <w:ind w:left="0" w:leftChars="0" w:right="0" w:rightChars="0" w:firstLine="480"/>
        <w:textAlignment w:val="auto"/>
        <w:outlineLvl w:val="9"/>
        <w:rPr>
          <w:rFonts w:hint="eastAsia" w:asciiTheme="minorEastAsia" w:hAnsiTheme="minorHAnsi" w:eastAsiaTheme="minorEastAsia" w:cstheme="minorBidi"/>
          <w:kern w:val="2"/>
          <w:sz w:val="24"/>
          <w:szCs w:val="22"/>
          <w:lang w:val="en-US" w:eastAsia="zh-CN" w:bidi="ar-SA"/>
        </w:rPr>
      </w:pPr>
    </w:p>
    <w:p>
      <w:pPr>
        <w:pStyle w:val="21"/>
        <w:keepNext w:val="0"/>
        <w:keepLines w:val="0"/>
        <w:pageBreakBefore w:val="0"/>
        <w:widowControl w:val="0"/>
        <w:kinsoku/>
        <w:wordWrap/>
        <w:overflowPunct/>
        <w:topLinePunct w:val="0"/>
        <w:bidi w:val="0"/>
        <w:snapToGrid/>
        <w:spacing w:before="0" w:after="0" w:line="360" w:lineRule="auto"/>
        <w:ind w:left="0" w:leftChars="0" w:right="0" w:rightChars="0" w:firstLine="480"/>
        <w:textAlignment w:val="auto"/>
        <w:outlineLvl w:val="9"/>
        <w:rPr>
          <w:rFonts w:hint="eastAsia" w:asciiTheme="minorEastAsia" w:hAnsiTheme="minorHAnsi" w:eastAsiaTheme="minorEastAsia" w:cstheme="minorBidi"/>
          <w:kern w:val="2"/>
          <w:sz w:val="24"/>
          <w:szCs w:val="22"/>
          <w:lang w:val="en-US" w:eastAsia="zh-CN" w:bidi="ar-SA"/>
        </w:rPr>
      </w:pPr>
    </w:p>
    <w:p>
      <w:pPr>
        <w:pStyle w:val="21"/>
        <w:ind w:firstLine="480"/>
        <w:rPr>
          <w:rFonts w:hint="eastAsia" w:asciiTheme="minorEastAsia" w:hAnsiTheme="minorHAnsi" w:eastAsiaTheme="minorEastAsia" w:cstheme="minorBidi"/>
          <w:kern w:val="2"/>
          <w:sz w:val="24"/>
          <w:szCs w:val="22"/>
          <w:lang w:val="en-US" w:eastAsia="zh-CN" w:bidi="ar-SA"/>
        </w:rPr>
      </w:pPr>
    </w:p>
    <w:p>
      <w:pPr>
        <w:pStyle w:val="21"/>
        <w:ind w:firstLine="480"/>
        <w:rPr>
          <w:rFonts w:hint="eastAsia" w:asciiTheme="minorEastAsia" w:hAnsiTheme="minorHAnsi" w:eastAsiaTheme="minorEastAsia" w:cstheme="minorBidi"/>
          <w:kern w:val="2"/>
          <w:sz w:val="24"/>
          <w:szCs w:val="22"/>
          <w:lang w:val="en-US" w:eastAsia="zh-CN" w:bidi="ar-SA"/>
        </w:rPr>
      </w:pPr>
    </w:p>
    <w:p>
      <w:pPr>
        <w:pStyle w:val="21"/>
        <w:ind w:firstLine="480"/>
        <w:rPr>
          <w:rFonts w:hint="eastAsia" w:asciiTheme="minorEastAsia" w:hAnsiTheme="minorHAnsi" w:eastAsiaTheme="minorEastAsia" w:cstheme="minorBidi"/>
          <w:kern w:val="2"/>
          <w:sz w:val="24"/>
          <w:szCs w:val="22"/>
          <w:lang w:val="en-US" w:eastAsia="zh-CN" w:bidi="ar-SA"/>
        </w:rPr>
      </w:pPr>
    </w:p>
    <w:p>
      <w:pPr>
        <w:pStyle w:val="21"/>
        <w:ind w:firstLine="480"/>
        <w:rPr>
          <w:rFonts w:hint="eastAsia" w:asciiTheme="minorEastAsia" w:hAnsiTheme="minorHAnsi" w:eastAsiaTheme="minorEastAsia" w:cstheme="minorBidi"/>
          <w:kern w:val="2"/>
          <w:sz w:val="24"/>
          <w:szCs w:val="22"/>
          <w:lang w:val="en-US" w:eastAsia="zh-CN" w:bidi="ar-SA"/>
        </w:rPr>
      </w:pPr>
    </w:p>
    <w:p>
      <w:pPr>
        <w:autoSpaceDE w:val="0"/>
        <w:autoSpaceDN w:val="0"/>
        <w:adjustRightInd w:val="0"/>
        <w:spacing w:before="156" w:after="156"/>
        <w:jc w:val="left"/>
        <w:rPr>
          <w:rFonts w:hint="eastAsia" w:asciiTheme="minorEastAsia" w:hAnsiTheme="minorHAnsi" w:eastAsiaTheme="minorEastAsia" w:cstheme="minorBidi"/>
          <w:kern w:val="2"/>
          <w:sz w:val="24"/>
          <w:szCs w:val="22"/>
          <w:lang w:val="zh-CN" w:eastAsia="zh-CN" w:bidi="ar-SA"/>
        </w:rPr>
      </w:pP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0" w:firstLineChars="0"/>
        <w:jc w:val="center"/>
        <w:textAlignment w:val="auto"/>
        <w:outlineLvl w:val="0"/>
        <w:rPr>
          <w:rFonts w:hint="eastAsia" w:asciiTheme="minorEastAsia" w:hAnsiTheme="minorHAnsi" w:eastAsiaTheme="minorEastAsia" w:cstheme="minorBidi"/>
          <w:b/>
          <w:bCs/>
          <w:kern w:val="2"/>
          <w:sz w:val="32"/>
          <w:szCs w:val="32"/>
          <w:lang w:val="zh-CN" w:eastAsia="zh-CN" w:bidi="ar-SA"/>
        </w:rPr>
      </w:pP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0" w:firstLineChars="0"/>
        <w:jc w:val="center"/>
        <w:textAlignment w:val="auto"/>
        <w:outlineLvl w:val="0"/>
        <w:rPr>
          <w:rFonts w:hint="eastAsia" w:asciiTheme="minorEastAsia" w:hAnsiTheme="minorHAnsi" w:eastAsiaTheme="minorEastAsia" w:cstheme="minorBidi"/>
          <w:b/>
          <w:bCs/>
          <w:kern w:val="2"/>
          <w:sz w:val="32"/>
          <w:szCs w:val="32"/>
          <w:lang w:val="zh-CN" w:eastAsia="zh-CN" w:bidi="ar-SA"/>
        </w:rPr>
      </w:pP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center"/>
        <w:textAlignment w:val="auto"/>
        <w:outlineLvl w:val="0"/>
        <w:rPr>
          <w:rFonts w:hint="eastAsia" w:asciiTheme="minorEastAsia" w:hAnsiTheme="minorHAnsi" w:eastAsiaTheme="minorEastAsia" w:cstheme="minorBidi"/>
          <w:b/>
          <w:bCs/>
          <w:kern w:val="2"/>
          <w:sz w:val="32"/>
          <w:szCs w:val="32"/>
          <w:lang w:val="zh-CN" w:eastAsia="zh-CN" w:bidi="ar-SA"/>
        </w:rPr>
      </w:pPr>
      <w:r>
        <w:rPr>
          <w:rFonts w:hint="eastAsia" w:asciiTheme="minorEastAsia" w:hAnsiTheme="minorHAnsi" w:eastAsiaTheme="minorEastAsia" w:cstheme="minorBidi"/>
          <w:b/>
          <w:bCs/>
          <w:kern w:val="2"/>
          <w:sz w:val="32"/>
          <w:szCs w:val="32"/>
          <w:lang w:val="zh-CN" w:eastAsia="zh-CN" w:bidi="ar-SA"/>
        </w:rPr>
        <w:t>第八章 总结与反馈</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1"/>
        <w:rPr>
          <w:rFonts w:hint="eastAsia" w:asciiTheme="minorEastAsia" w:hAnsiTheme="minorHAnsi" w:eastAsiaTheme="minorEastAsia" w:cstheme="minorBidi"/>
          <w:b/>
          <w:bCs/>
          <w:kern w:val="2"/>
          <w:sz w:val="28"/>
          <w:szCs w:val="28"/>
          <w:lang w:val="zh-CN" w:eastAsia="zh-CN" w:bidi="ar-SA"/>
        </w:rPr>
      </w:pPr>
      <w:r>
        <w:rPr>
          <w:rFonts w:hint="eastAsia" w:asciiTheme="minorEastAsia" w:hAnsiTheme="minorHAnsi" w:eastAsiaTheme="minorEastAsia" w:cstheme="minorBidi"/>
          <w:b/>
          <w:bCs/>
          <w:kern w:val="2"/>
          <w:sz w:val="28"/>
          <w:szCs w:val="28"/>
          <w:lang w:val="zh-CN" w:eastAsia="zh-CN" w:bidi="ar-SA"/>
        </w:rPr>
        <w:t>一、报告总结</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本报告通过对仙桃职业学院2017届毕业生就业质量状况进行调研，全面、真实地剖析学校人才培养工作水平，对接学院教育教学与职场工作能力，透过毕业生就业质量观察学院教育教学的可持续性，为学院进一步开展工作奠定基础。</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学院2017届有毕业生3369人，截至2017年12月，已就业3216人，就业率95.46%。分二级学院看，各二级学院就业率均在93.00%以上，其中教育学院、艺术与传媒学院就业率最高，均为100.00%；分专业来看，各专业就业率均在91.00%以上。其中有18个专业就业率为100.00%。在当前紧缩的就业市场中保持着较高的就业率，充分反映了学院人才培养质量与就业工作水平。学校生源地分布人数最多的省份是湖北省（76.73%），就业地区也以湖北省为主，占比67.31%。学院毕业生就业人数最多的行业为“卫生和社会工作”“制造业”“教育业”，这一现状反映了学院的专业优势和办学特色。</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调研结果表明，2017届毕业生最主要的求职途径是自己联系应聘（39.63%），说明当前学院就业帮扶工作仍有提升空间。毕业生在求职时认为首要的成功就业影响因素为实践/工作经验（18.74%）、专业技能（17.09%）、学历（17.00%）。总体来看，2017届毕业生就业状况满意度为98.01%。在各就业质量指标中，工作环境满意度最高，达94.66%；其次是行业前途，为93.84%；工作与专业相关度（95.02%）、工作与理想一致性（89.99%）、福利保障满意度（86.05%）的满意度均在80.00%以上，薪资满意度（77.85%）相对较低。</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根据调研数据统计，在对母校工作的整体评价中，毕业生对母校的综合满意度和推荐度分别为97.52%和93.29%。其中，对母校教育教学工作评价中，教师授课满意度最高（4.02分），对课程设置评价相对较低（3.94分）。毕业生认为母校教育教学方面最应改进的是实践教学（20.91%）、课程内容及安排（19.30%）和教学方法手段（17.32%）。毕业生对母校就业创业服务指标的满意度均在93.00%以上，对就业信息提供与发布评价最高，为94.94%；对就业困难群体帮扶情况满意度相对较低，为93.92%。</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480" w:firstLineChars="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通过对用人单位满意度的调研可知，来校招聘的用人单位中民（私）营企业占45.45%，行业分布以“卫生和社会工作”“建筑业”“信息传输、软件和信息”为主，多为优质企业，为学生就业提供了良好的平台。用人单位对2017届毕业生的整体认可度较高，为97.98%。合作单位最注重的是毕业生的综合素质、所学专业、学习成绩。在毕业生各项品质中，用人单位主要关注敬业精神、有责任感和诚实守信；在专业知识和专业技能中，用人单位较为看重专业理论基础、专业应用技能、职业资格证书；在对毕业生各项能力的评价中，对毕业生观察能力的满意度最高，为4.65分。用人单位对学院就业工作的评价均在4.20分以上，对招聘信息发布评价最高，为4.62分。</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480" w:firstLineChars="0"/>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总体而言，学院2017届毕业生就业态势良好，整体就业水平较好，就业满意度较高，毕业生及用人单位对学院评价较高，用人单位对毕业生认可度很高。面对严峻的就业形势，学院将继续采取有效措施积极应对，统筹规划建设就业市场，巩固校园就业主渠道，全方位、多渠道、高质量开展就业指导服务，提高毕业生就业竞争力，确保毕业生继续实现较高质量的就业创业。</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left"/>
        <w:textAlignment w:val="auto"/>
        <w:outlineLvl w:val="1"/>
        <w:rPr>
          <w:rFonts w:hint="eastAsia" w:asciiTheme="minorEastAsia" w:hAnsiTheme="minorHAnsi" w:eastAsiaTheme="minorEastAsia" w:cstheme="minorBidi"/>
          <w:b/>
          <w:bCs/>
          <w:kern w:val="2"/>
          <w:sz w:val="28"/>
          <w:szCs w:val="28"/>
          <w:lang w:val="zh-CN" w:eastAsia="zh-CN" w:bidi="ar-SA"/>
        </w:rPr>
      </w:pPr>
      <w:r>
        <w:rPr>
          <w:rFonts w:hint="eastAsia" w:asciiTheme="minorEastAsia" w:hAnsiTheme="minorHAnsi" w:eastAsiaTheme="minorEastAsia" w:cstheme="minorBidi"/>
          <w:b/>
          <w:bCs/>
          <w:kern w:val="2"/>
          <w:sz w:val="28"/>
          <w:szCs w:val="28"/>
          <w:lang w:val="zh-CN" w:eastAsia="zh-CN" w:bidi="ar-SA"/>
        </w:rPr>
        <w:t>二、建议与反馈</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2"/>
        <w:rPr>
          <w:rFonts w:hint="eastAsia" w:asciiTheme="minorEastAsia" w:hAnsiTheme="minorHAnsi" w:eastAsiaTheme="minorEastAsia" w:cstheme="minorBidi"/>
          <w:b/>
          <w:bCs/>
          <w:kern w:val="2"/>
          <w:sz w:val="24"/>
          <w:szCs w:val="22"/>
          <w:lang w:val="zh-CN" w:eastAsia="zh-CN" w:bidi="ar-SA"/>
        </w:rPr>
      </w:pPr>
      <w:r>
        <w:rPr>
          <w:rFonts w:hint="eastAsia" w:asciiTheme="minorEastAsia" w:hAnsiTheme="minorHAnsi" w:eastAsiaTheme="minorEastAsia" w:cstheme="minorBidi"/>
          <w:b/>
          <w:bCs/>
          <w:kern w:val="2"/>
          <w:sz w:val="24"/>
          <w:szCs w:val="22"/>
          <w:lang w:val="zh-CN" w:eastAsia="zh-CN" w:bidi="ar-SA"/>
        </w:rPr>
        <w:t>（一）加强毕业生就业工作队伍建设</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随着我国现阶段毕业生数量急剧增长，社会可提供的就业岗位增长缓慢，造成显著的就业矛盾。同时，毕业生就业市场化与毕业生滞后的就业观之间的冲突显得十分突出，毕业生到经济欠发达地区和基层就业的态势尚未形成，人才供需结构性矛盾仍然存在，这些都影响着高校毕业生就业。为此，学院应通过各种形式的培训，提高工作人员的理论政策水平和实际工作能力，达到就业工作队伍专职化、专业化、专家化。在就业师资队伍建立的基础上，开设就业指导课，内容包括职业生涯规划、政策指导、信息指导思想指导、技术指导、心理指导和社会适应性指导等多个方面，全方位为毕业生就业创业进行规划、提供方向，为毕业生就业创业提供有力支撑。</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2"/>
        <w:rPr>
          <w:rFonts w:hint="eastAsia" w:asciiTheme="minorEastAsia" w:hAnsiTheme="minorHAnsi" w:eastAsiaTheme="minorEastAsia" w:cstheme="minorBidi"/>
          <w:b/>
          <w:bCs/>
          <w:kern w:val="2"/>
          <w:sz w:val="24"/>
          <w:szCs w:val="22"/>
          <w:lang w:val="zh-CN" w:eastAsia="zh-CN" w:bidi="ar-SA"/>
        </w:rPr>
      </w:pPr>
      <w:r>
        <w:rPr>
          <w:rFonts w:hint="eastAsia" w:asciiTheme="minorEastAsia" w:hAnsiTheme="minorHAnsi" w:eastAsiaTheme="minorEastAsia" w:cstheme="minorBidi"/>
          <w:b/>
          <w:bCs/>
          <w:kern w:val="2"/>
          <w:sz w:val="24"/>
          <w:szCs w:val="22"/>
          <w:lang w:val="zh-CN" w:eastAsia="zh-CN" w:bidi="ar-SA"/>
        </w:rPr>
        <w:t>（二）提高实践教学水平，切实增强毕业生就业竞争力</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jc w:val="left"/>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调研结果显示，学院毕业生对实践教学十分关注。实践能力是高校毕业生就业竞争力的重要组成部分，因此，加强实践教学水平，从软件和硬件上提高实践教学质量成为学院未来工作的当务之急。要以增强学生实践能力为目标，以经济社会发展对人才实践能力需求为依据，系统梳理实践教学内容，强化专业实践能力内核，构建与经济社会发展相适应的、更加科学合理的专业实践教学方案。实践教学方案要坚持理论联系实际，提高实践教学针对性和吸引力；坚持课内课外相结合，确保实践教学贯穿人才培养全过程；坚持整合实践教学资源，形成推进实践教学的有效合力。</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360" w:lineRule="auto"/>
        <w:ind w:left="0" w:leftChars="0" w:right="0" w:rightChars="0" w:firstLine="0" w:firstLineChars="0"/>
        <w:jc w:val="left"/>
        <w:textAlignment w:val="auto"/>
        <w:outlineLvl w:val="2"/>
        <w:rPr>
          <w:rFonts w:hint="eastAsia" w:asciiTheme="minorEastAsia" w:hAnsiTheme="minorHAnsi" w:eastAsiaTheme="minorEastAsia" w:cstheme="minorBidi"/>
          <w:b/>
          <w:bCs/>
          <w:kern w:val="2"/>
          <w:sz w:val="24"/>
          <w:szCs w:val="22"/>
          <w:lang w:val="zh-CN" w:eastAsia="zh-CN" w:bidi="ar-SA"/>
        </w:rPr>
      </w:pPr>
      <w:r>
        <w:rPr>
          <w:rFonts w:hint="eastAsia" w:asciiTheme="minorEastAsia" w:hAnsiTheme="minorHAnsi" w:eastAsiaTheme="minorEastAsia" w:cstheme="minorBidi"/>
          <w:b/>
          <w:bCs/>
          <w:kern w:val="2"/>
          <w:sz w:val="24"/>
          <w:szCs w:val="22"/>
          <w:lang w:val="zh-CN" w:eastAsia="zh-CN" w:bidi="ar-SA"/>
        </w:rPr>
        <w:t>（三）加大资金投入，推进校企合作</w:t>
      </w:r>
    </w:p>
    <w:p>
      <w:pPr>
        <w:pStyle w:val="21"/>
        <w:keepNext w:val="0"/>
        <w:keepLines w:val="0"/>
        <w:pageBreakBefore w:val="0"/>
        <w:widowControl w:val="0"/>
        <w:kinsoku/>
        <w:wordWrap/>
        <w:overflowPunct/>
        <w:topLinePunct w:val="0"/>
        <w:bidi w:val="0"/>
        <w:snapToGrid/>
        <w:spacing w:before="0" w:after="0" w:line="360" w:lineRule="auto"/>
        <w:ind w:left="0" w:leftChars="0" w:right="0" w:rightChars="0" w:firstLine="480"/>
        <w:textAlignment w:val="auto"/>
        <w:outlineLvl w:val="9"/>
        <w:rPr>
          <w:rFonts w:hint="eastAsia" w:asciiTheme="minorEastAsia" w:hAnsiTheme="minorHAnsi" w:eastAsiaTheme="minorEastAsia" w:cstheme="minorBidi"/>
          <w:kern w:val="2"/>
          <w:sz w:val="24"/>
          <w:szCs w:val="22"/>
          <w:lang w:val="zh-CN" w:eastAsia="zh-CN" w:bidi="ar-SA"/>
        </w:rPr>
      </w:pPr>
      <w:r>
        <w:rPr>
          <w:rFonts w:hint="eastAsia" w:asciiTheme="minorEastAsia" w:hAnsiTheme="minorHAnsi" w:eastAsiaTheme="minorEastAsia" w:cstheme="minorBidi"/>
          <w:kern w:val="2"/>
          <w:sz w:val="24"/>
          <w:szCs w:val="22"/>
          <w:lang w:val="zh-CN" w:eastAsia="zh-CN" w:bidi="ar-SA"/>
        </w:rPr>
        <w:t>优化经费支出结构，对于实践教学、毕业实习等与就业相关性较强的工作，要在经费预算中做出具体安排并确保落实到位。根据就业工作对实践教学的需求，学院应逐步加大实践教学经费在经费支出中所占比例，鼓励和引导社会力量支持实践教学，多渠道增加实践教学经费投入；科学统筹安排实验教学运行经费、实习经费等各项实践教学经费，加强实践教学经费使用的绩效评估；切实加大对实习实训基地建设和实践教学运行经费的投入，使各实践教学环节有良好的环境和条件。此外，学院要积极推进校企合作，发挥行业优势，在企业建立稳定的实践教学基地。支持学生参与科学研究、生产劳动和社会实践，探索与行业、企业联合培养人才新机制。</w:t>
      </w: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Calibri Light">
    <w:altName w:val="Lucida Sans Unicode"/>
    <w:panose1 w:val="020F0302020204030204"/>
    <w:charset w:val="00"/>
    <w:family w:val="swiss"/>
    <w:pitch w:val="default"/>
    <w:sig w:usb0="00000000" w:usb1="00000000" w:usb2="00000009" w:usb3="00000000" w:csb0="000001FF" w:csb1="00000000"/>
  </w:font>
  <w:font w:name="Tahoma">
    <w:panose1 w:val="020B0604030504040204"/>
    <w:charset w:val="00"/>
    <w:family w:val="swiss"/>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 w:name="幼圆">
    <w:altName w:val="宋体"/>
    <w:panose1 w:val="02010509060101010101"/>
    <w:charset w:val="86"/>
    <w:family w:val="roman"/>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Cambria Math">
    <w:panose1 w:val="02040503050406030204"/>
    <w:charset w:val="00"/>
    <w:family w:val="roman"/>
    <w:pitch w:val="default"/>
    <w:sig w:usb0="A00002EF" w:usb1="420020E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9169713"/>
      <w:placeholder>
        <w:docPart w:val="71C3A34ADCA841F6A0B774D26AA4DCF1"/>
      </w:placeholder>
      <w:temporary/>
      <w:showingPlcHdr/>
    </w:sdtPr>
    <w:sdtContent>
      <w:p>
        <w:pPr>
          <w:pStyle w:val="8"/>
        </w:pPr>
        <w:r>
          <w:rPr>
            <w:lang w:val="zh-CN"/>
          </w:rPr>
          <w:t>[在此处键入]</w:t>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6947053"/>
      <w:docPartObj>
        <w:docPartGallery w:val="autotext"/>
      </w:docPartObj>
    </w:sdtPr>
    <w:sdtContent>
      <w:p>
        <w:pPr>
          <w:pStyle w:val="8"/>
          <w:jc w:val="center"/>
        </w:pPr>
        <w:r>
          <w:fldChar w:fldCharType="begin"/>
        </w:r>
        <w:r>
          <w:instrText xml:space="preserve">PAGE   \* MERGEFORMAT</w:instrText>
        </w:r>
        <w:r>
          <w:fldChar w:fldCharType="separate"/>
        </w:r>
        <w:r>
          <w:rPr>
            <w:lang w:val="zh-CN"/>
          </w:rPr>
          <w:t>IV</w:t>
        </w:r>
        <w:r>
          <w:rPr>
            <w:lang w:val="zh-CN"/>
          </w:rPr>
          <w:fldChar w:fldCharType="end"/>
        </w:r>
      </w:p>
    </w:sdtContent>
  </w:sdt>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52</w:t>
    </w:r>
    <w:r>
      <w:rPr>
        <w:lang w:val="zh-CN"/>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r>
      <w:drawing>
        <wp:inline distT="0" distB="0" distL="0" distR="0">
          <wp:extent cx="1162050" cy="315595"/>
          <wp:effectExtent l="0" t="0" r="0" b="8255"/>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21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84577" cy="32173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87615"/>
    <w:rsid w:val="0001370C"/>
    <w:rsid w:val="0001741B"/>
    <w:rsid w:val="00046FF2"/>
    <w:rsid w:val="00047EF4"/>
    <w:rsid w:val="00076A9F"/>
    <w:rsid w:val="00095404"/>
    <w:rsid w:val="000A2501"/>
    <w:rsid w:val="000A3536"/>
    <w:rsid w:val="000B32E3"/>
    <w:rsid w:val="000B347F"/>
    <w:rsid w:val="000C6598"/>
    <w:rsid w:val="000F7F85"/>
    <w:rsid w:val="0011053D"/>
    <w:rsid w:val="00167814"/>
    <w:rsid w:val="00167D2B"/>
    <w:rsid w:val="001B3E97"/>
    <w:rsid w:val="001D5210"/>
    <w:rsid w:val="001F6C94"/>
    <w:rsid w:val="001F6E97"/>
    <w:rsid w:val="00227C54"/>
    <w:rsid w:val="00235A8D"/>
    <w:rsid w:val="00235F3D"/>
    <w:rsid w:val="00241E0A"/>
    <w:rsid w:val="00274C58"/>
    <w:rsid w:val="00283BBE"/>
    <w:rsid w:val="0029327C"/>
    <w:rsid w:val="002A28C1"/>
    <w:rsid w:val="002A36D6"/>
    <w:rsid w:val="002C1D48"/>
    <w:rsid w:val="003430DA"/>
    <w:rsid w:val="00352CAA"/>
    <w:rsid w:val="0039264B"/>
    <w:rsid w:val="003A6245"/>
    <w:rsid w:val="003C7EBB"/>
    <w:rsid w:val="003E69A1"/>
    <w:rsid w:val="003F14D9"/>
    <w:rsid w:val="0041160A"/>
    <w:rsid w:val="004256FE"/>
    <w:rsid w:val="004600F3"/>
    <w:rsid w:val="0049223C"/>
    <w:rsid w:val="004936EA"/>
    <w:rsid w:val="004979F6"/>
    <w:rsid w:val="004A4B1D"/>
    <w:rsid w:val="004B0A67"/>
    <w:rsid w:val="004C1863"/>
    <w:rsid w:val="004D27CC"/>
    <w:rsid w:val="004D4131"/>
    <w:rsid w:val="004E0348"/>
    <w:rsid w:val="005001AF"/>
    <w:rsid w:val="005322A6"/>
    <w:rsid w:val="005434A0"/>
    <w:rsid w:val="00572E69"/>
    <w:rsid w:val="0059742C"/>
    <w:rsid w:val="005A731A"/>
    <w:rsid w:val="005C1421"/>
    <w:rsid w:val="00611AF1"/>
    <w:rsid w:val="006123C8"/>
    <w:rsid w:val="00644C1C"/>
    <w:rsid w:val="006612F3"/>
    <w:rsid w:val="0067277A"/>
    <w:rsid w:val="006B5A31"/>
    <w:rsid w:val="006C2ADC"/>
    <w:rsid w:val="006C4EDC"/>
    <w:rsid w:val="006D6186"/>
    <w:rsid w:val="007148BA"/>
    <w:rsid w:val="00724227"/>
    <w:rsid w:val="00731321"/>
    <w:rsid w:val="00742BFF"/>
    <w:rsid w:val="0075367B"/>
    <w:rsid w:val="007619EE"/>
    <w:rsid w:val="007706DF"/>
    <w:rsid w:val="007A4E20"/>
    <w:rsid w:val="007B12A6"/>
    <w:rsid w:val="007B7362"/>
    <w:rsid w:val="007C3045"/>
    <w:rsid w:val="00830106"/>
    <w:rsid w:val="00833F8F"/>
    <w:rsid w:val="00834A68"/>
    <w:rsid w:val="008601AD"/>
    <w:rsid w:val="008A5DEE"/>
    <w:rsid w:val="008B64D0"/>
    <w:rsid w:val="008B7DC6"/>
    <w:rsid w:val="008F65D8"/>
    <w:rsid w:val="009123DE"/>
    <w:rsid w:val="00926778"/>
    <w:rsid w:val="00941AB0"/>
    <w:rsid w:val="00943ADC"/>
    <w:rsid w:val="0096427E"/>
    <w:rsid w:val="009654AD"/>
    <w:rsid w:val="00975AB8"/>
    <w:rsid w:val="00994383"/>
    <w:rsid w:val="009976E6"/>
    <w:rsid w:val="009B0918"/>
    <w:rsid w:val="009C5180"/>
    <w:rsid w:val="009C7A14"/>
    <w:rsid w:val="009D562C"/>
    <w:rsid w:val="00A16A59"/>
    <w:rsid w:val="00A17375"/>
    <w:rsid w:val="00A324BF"/>
    <w:rsid w:val="00A41663"/>
    <w:rsid w:val="00A41FD1"/>
    <w:rsid w:val="00A60BEE"/>
    <w:rsid w:val="00A87615"/>
    <w:rsid w:val="00AB32FC"/>
    <w:rsid w:val="00AB4BFA"/>
    <w:rsid w:val="00AD14D9"/>
    <w:rsid w:val="00AE4306"/>
    <w:rsid w:val="00B15558"/>
    <w:rsid w:val="00B21B4F"/>
    <w:rsid w:val="00B36F2C"/>
    <w:rsid w:val="00B56CE7"/>
    <w:rsid w:val="00B65690"/>
    <w:rsid w:val="00B734E2"/>
    <w:rsid w:val="00B759DE"/>
    <w:rsid w:val="00B76C8B"/>
    <w:rsid w:val="00BA25EB"/>
    <w:rsid w:val="00BA27E5"/>
    <w:rsid w:val="00BC211B"/>
    <w:rsid w:val="00BE112E"/>
    <w:rsid w:val="00C000CD"/>
    <w:rsid w:val="00C03BC2"/>
    <w:rsid w:val="00C50A68"/>
    <w:rsid w:val="00C5407E"/>
    <w:rsid w:val="00C60B72"/>
    <w:rsid w:val="00C973F2"/>
    <w:rsid w:val="00CC7141"/>
    <w:rsid w:val="00CD40B4"/>
    <w:rsid w:val="00D0637A"/>
    <w:rsid w:val="00D33B9D"/>
    <w:rsid w:val="00D46B96"/>
    <w:rsid w:val="00D668B1"/>
    <w:rsid w:val="00D71DE6"/>
    <w:rsid w:val="00D765A5"/>
    <w:rsid w:val="00D77AE7"/>
    <w:rsid w:val="00D96F26"/>
    <w:rsid w:val="00D970B6"/>
    <w:rsid w:val="00D97B88"/>
    <w:rsid w:val="00DA2496"/>
    <w:rsid w:val="00DA65BF"/>
    <w:rsid w:val="00DC0EB3"/>
    <w:rsid w:val="00DE070E"/>
    <w:rsid w:val="00DE27D4"/>
    <w:rsid w:val="00E178FD"/>
    <w:rsid w:val="00E236F4"/>
    <w:rsid w:val="00E241D0"/>
    <w:rsid w:val="00E472DE"/>
    <w:rsid w:val="00E4750F"/>
    <w:rsid w:val="00E47AC4"/>
    <w:rsid w:val="00E54609"/>
    <w:rsid w:val="00EC1A19"/>
    <w:rsid w:val="00ED606D"/>
    <w:rsid w:val="00EF7E53"/>
    <w:rsid w:val="00F11D19"/>
    <w:rsid w:val="00F144C2"/>
    <w:rsid w:val="00F202C4"/>
    <w:rsid w:val="00F229BE"/>
    <w:rsid w:val="00F80DE8"/>
    <w:rsid w:val="00FA344A"/>
    <w:rsid w:val="00FA4749"/>
    <w:rsid w:val="00FB1C2D"/>
    <w:rsid w:val="00FC2D3E"/>
    <w:rsid w:val="00FD6D1E"/>
    <w:rsid w:val="07D81218"/>
    <w:rsid w:val="0EBA6253"/>
    <w:rsid w:val="15286D67"/>
    <w:rsid w:val="279141E2"/>
    <w:rsid w:val="2B921C03"/>
    <w:rsid w:val="30451953"/>
    <w:rsid w:val="3FA838E5"/>
    <w:rsid w:val="42435C25"/>
    <w:rsid w:val="42D02B59"/>
    <w:rsid w:val="4CB3078B"/>
    <w:rsid w:val="4DFC273C"/>
    <w:rsid w:val="4E6F309C"/>
    <w:rsid w:val="56B31939"/>
    <w:rsid w:val="589B7D1F"/>
    <w:rsid w:val="602C0F1F"/>
    <w:rsid w:val="6E0040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6">
    <w:name w:val="Default Paragraph Font"/>
    <w:unhideWhenUsed/>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2">
    <w:name w:val="toc 7"/>
    <w:basedOn w:val="1"/>
    <w:next w:val="1"/>
    <w:unhideWhenUsed/>
    <w:uiPriority w:val="39"/>
    <w:pPr>
      <w:ind w:left="1050"/>
      <w:jc w:val="left"/>
    </w:pPr>
    <w:rPr>
      <w:sz w:val="20"/>
      <w:szCs w:val="20"/>
    </w:rPr>
  </w:style>
  <w:style w:type="paragraph" w:styleId="3">
    <w:name w:val="caption"/>
    <w:basedOn w:val="1"/>
    <w:next w:val="1"/>
    <w:unhideWhenUsed/>
    <w:qFormat/>
    <w:uiPriority w:val="35"/>
    <w:rPr>
      <w:rFonts w:eastAsia="黑体" w:asciiTheme="majorHAnsi" w:hAnsiTheme="majorHAnsi" w:cstheme="majorBidi"/>
      <w:sz w:val="20"/>
      <w:szCs w:val="20"/>
    </w:rPr>
  </w:style>
  <w:style w:type="paragraph" w:styleId="4">
    <w:name w:val="toc 5"/>
    <w:basedOn w:val="1"/>
    <w:next w:val="1"/>
    <w:unhideWhenUsed/>
    <w:qFormat/>
    <w:uiPriority w:val="39"/>
    <w:pPr>
      <w:ind w:left="630"/>
      <w:jc w:val="left"/>
    </w:pPr>
    <w:rPr>
      <w:sz w:val="20"/>
      <w:szCs w:val="20"/>
    </w:rPr>
  </w:style>
  <w:style w:type="paragraph" w:styleId="5">
    <w:name w:val="toc 3"/>
    <w:basedOn w:val="1"/>
    <w:next w:val="1"/>
    <w:unhideWhenUsed/>
    <w:qFormat/>
    <w:uiPriority w:val="39"/>
    <w:pPr>
      <w:ind w:left="210"/>
      <w:jc w:val="left"/>
    </w:pPr>
    <w:rPr>
      <w:sz w:val="20"/>
      <w:szCs w:val="20"/>
    </w:rPr>
  </w:style>
  <w:style w:type="paragraph" w:styleId="6">
    <w:name w:val="toc 8"/>
    <w:basedOn w:val="1"/>
    <w:next w:val="1"/>
    <w:unhideWhenUsed/>
    <w:qFormat/>
    <w:uiPriority w:val="39"/>
    <w:pPr>
      <w:ind w:left="1260"/>
      <w:jc w:val="left"/>
    </w:pPr>
    <w:rPr>
      <w:sz w:val="20"/>
      <w:szCs w:val="20"/>
    </w:rPr>
  </w:style>
  <w:style w:type="paragraph" w:styleId="7">
    <w:name w:val="Balloon Text"/>
    <w:basedOn w:val="1"/>
    <w:link w:val="32"/>
    <w:unhideWhenUsed/>
    <w:qFormat/>
    <w:uiPriority w:val="99"/>
    <w:rPr>
      <w:sz w:val="18"/>
      <w:szCs w:val="18"/>
    </w:rPr>
  </w:style>
  <w:style w:type="paragraph" w:styleId="8">
    <w:name w:val="footer"/>
    <w:basedOn w:val="1"/>
    <w:link w:val="26"/>
    <w:unhideWhenUsed/>
    <w:qFormat/>
    <w:uiPriority w:val="99"/>
    <w:pPr>
      <w:widowControl/>
      <w:tabs>
        <w:tab w:val="center" w:pos="4153"/>
        <w:tab w:val="right" w:pos="8306"/>
      </w:tabs>
      <w:snapToGrid w:val="0"/>
      <w:jc w:val="left"/>
    </w:pPr>
    <w:rPr>
      <w:rFonts w:ascii="宋体" w:hAnsi="宋体" w:eastAsia="宋体" w:cs="宋体"/>
      <w:kern w:val="0"/>
      <w:sz w:val="18"/>
      <w:szCs w:val="18"/>
    </w:rPr>
  </w:style>
  <w:style w:type="paragraph" w:styleId="9">
    <w:name w:val="header"/>
    <w:basedOn w:val="1"/>
    <w:link w:val="25"/>
    <w:unhideWhenUsed/>
    <w:qFormat/>
    <w:uiPriority w:val="99"/>
    <w:pPr>
      <w:widowControl/>
      <w:pBdr>
        <w:bottom w:val="single" w:color="auto" w:sz="6" w:space="1"/>
      </w:pBdr>
      <w:tabs>
        <w:tab w:val="center" w:pos="4153"/>
        <w:tab w:val="right" w:pos="8306"/>
      </w:tabs>
      <w:snapToGrid w:val="0"/>
      <w:jc w:val="center"/>
    </w:pPr>
    <w:rPr>
      <w:rFonts w:ascii="宋体" w:hAnsi="宋体" w:eastAsia="宋体" w:cs="宋体"/>
      <w:kern w:val="0"/>
      <w:sz w:val="18"/>
      <w:szCs w:val="18"/>
    </w:rPr>
  </w:style>
  <w:style w:type="paragraph" w:styleId="10">
    <w:name w:val="toc 1"/>
    <w:basedOn w:val="1"/>
    <w:next w:val="1"/>
    <w:unhideWhenUsed/>
    <w:qFormat/>
    <w:uiPriority w:val="39"/>
    <w:pPr>
      <w:tabs>
        <w:tab w:val="right" w:leader="dot" w:pos="8296"/>
      </w:tabs>
      <w:spacing w:before="360"/>
      <w:jc w:val="center"/>
    </w:pPr>
    <w:rPr>
      <w:rFonts w:asciiTheme="majorHAnsi" w:hAnsiTheme="majorHAnsi"/>
      <w:b/>
      <w:bCs/>
      <w:caps/>
      <w:sz w:val="24"/>
      <w:szCs w:val="24"/>
    </w:rPr>
  </w:style>
  <w:style w:type="paragraph" w:styleId="11">
    <w:name w:val="toc 4"/>
    <w:basedOn w:val="1"/>
    <w:next w:val="1"/>
    <w:unhideWhenUsed/>
    <w:qFormat/>
    <w:uiPriority w:val="39"/>
    <w:pPr>
      <w:ind w:left="420"/>
      <w:jc w:val="left"/>
    </w:pPr>
    <w:rPr>
      <w:sz w:val="20"/>
      <w:szCs w:val="20"/>
    </w:rPr>
  </w:style>
  <w:style w:type="paragraph" w:styleId="12">
    <w:name w:val="toc 6"/>
    <w:basedOn w:val="1"/>
    <w:next w:val="1"/>
    <w:unhideWhenUsed/>
    <w:qFormat/>
    <w:uiPriority w:val="39"/>
    <w:pPr>
      <w:ind w:left="840"/>
      <w:jc w:val="left"/>
    </w:pPr>
    <w:rPr>
      <w:sz w:val="20"/>
      <w:szCs w:val="20"/>
    </w:rPr>
  </w:style>
  <w:style w:type="paragraph" w:styleId="13">
    <w:name w:val="toc 2"/>
    <w:basedOn w:val="1"/>
    <w:next w:val="1"/>
    <w:unhideWhenUsed/>
    <w:qFormat/>
    <w:uiPriority w:val="39"/>
    <w:pPr>
      <w:spacing w:before="240"/>
      <w:jc w:val="left"/>
    </w:pPr>
    <w:rPr>
      <w:b/>
      <w:bCs/>
      <w:sz w:val="20"/>
      <w:szCs w:val="20"/>
    </w:rPr>
  </w:style>
  <w:style w:type="paragraph" w:styleId="14">
    <w:name w:val="toc 9"/>
    <w:basedOn w:val="1"/>
    <w:next w:val="1"/>
    <w:unhideWhenUsed/>
    <w:qFormat/>
    <w:uiPriority w:val="39"/>
    <w:pPr>
      <w:ind w:left="1470"/>
      <w:jc w:val="left"/>
    </w:pPr>
    <w:rPr>
      <w:sz w:val="20"/>
      <w:szCs w:val="20"/>
    </w:rPr>
  </w:style>
  <w:style w:type="paragraph" w:styleId="1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7">
    <w:name w:val="Hyperlink"/>
    <w:basedOn w:val="16"/>
    <w:unhideWhenUsed/>
    <w:qFormat/>
    <w:uiPriority w:val="99"/>
    <w:rPr>
      <w:color w:val="0563C1" w:themeColor="hyperlink"/>
      <w:u w:val="single"/>
    </w:rPr>
  </w:style>
  <w:style w:type="paragraph" w:customStyle="1" w:styleId="19">
    <w:name w:val="第二级标题"/>
    <w:basedOn w:val="1"/>
    <w:link w:val="20"/>
    <w:qFormat/>
    <w:uiPriority w:val="0"/>
    <w:pPr>
      <w:spacing w:beforeLines="50" w:afterLines="50" w:line="360" w:lineRule="auto"/>
      <w:jc w:val="left"/>
      <w:outlineLvl w:val="1"/>
    </w:pPr>
    <w:rPr>
      <w:rFonts w:asciiTheme="minorEastAsia"/>
      <w:b/>
      <w:sz w:val="28"/>
    </w:rPr>
  </w:style>
  <w:style w:type="character" w:customStyle="1" w:styleId="20">
    <w:name w:val="第二级标题 Char"/>
    <w:basedOn w:val="16"/>
    <w:link w:val="19"/>
    <w:qFormat/>
    <w:uiPriority w:val="0"/>
    <w:rPr>
      <w:rFonts w:asciiTheme="minorEastAsia"/>
      <w:b/>
      <w:sz w:val="28"/>
    </w:rPr>
  </w:style>
  <w:style w:type="paragraph" w:customStyle="1" w:styleId="21">
    <w:name w:val="报告内文"/>
    <w:basedOn w:val="1"/>
    <w:link w:val="22"/>
    <w:qFormat/>
    <w:uiPriority w:val="0"/>
    <w:pPr>
      <w:spacing w:before="120" w:after="120" w:line="360" w:lineRule="auto"/>
      <w:ind w:firstLine="200" w:firstLineChars="200"/>
    </w:pPr>
    <w:rPr>
      <w:rFonts w:asciiTheme="minorEastAsia"/>
      <w:sz w:val="24"/>
    </w:rPr>
  </w:style>
  <w:style w:type="character" w:customStyle="1" w:styleId="22">
    <w:name w:val="报告内文 Char"/>
    <w:basedOn w:val="16"/>
    <w:link w:val="21"/>
    <w:qFormat/>
    <w:uiPriority w:val="0"/>
    <w:rPr>
      <w:rFonts w:asciiTheme="minorEastAsia"/>
      <w:sz w:val="24"/>
    </w:rPr>
  </w:style>
  <w:style w:type="paragraph" w:customStyle="1" w:styleId="23">
    <w:name w:val="图表标题"/>
    <w:basedOn w:val="3"/>
    <w:link w:val="24"/>
    <w:qFormat/>
    <w:uiPriority w:val="0"/>
    <w:pPr>
      <w:jc w:val="center"/>
    </w:pPr>
    <w:rPr>
      <w:rFonts w:ascii="宋体" w:eastAsia="宋体"/>
      <w:sz w:val="18"/>
    </w:rPr>
  </w:style>
  <w:style w:type="character" w:customStyle="1" w:styleId="24">
    <w:name w:val="图表标题 Char"/>
    <w:basedOn w:val="16"/>
    <w:link w:val="23"/>
    <w:qFormat/>
    <w:uiPriority w:val="0"/>
    <w:rPr>
      <w:rFonts w:ascii="宋体" w:eastAsia="宋体" w:hAnsiTheme="majorHAnsi" w:cstheme="majorBidi"/>
      <w:sz w:val="18"/>
      <w:szCs w:val="20"/>
    </w:rPr>
  </w:style>
  <w:style w:type="character" w:customStyle="1" w:styleId="25">
    <w:name w:val="页眉 Char"/>
    <w:basedOn w:val="16"/>
    <w:link w:val="9"/>
    <w:qFormat/>
    <w:uiPriority w:val="99"/>
    <w:rPr>
      <w:rFonts w:ascii="宋体" w:hAnsi="宋体" w:eastAsia="宋体" w:cs="宋体"/>
      <w:kern w:val="0"/>
      <w:sz w:val="18"/>
      <w:szCs w:val="18"/>
    </w:rPr>
  </w:style>
  <w:style w:type="character" w:customStyle="1" w:styleId="26">
    <w:name w:val="页脚 Char"/>
    <w:basedOn w:val="16"/>
    <w:link w:val="8"/>
    <w:qFormat/>
    <w:uiPriority w:val="99"/>
    <w:rPr>
      <w:rFonts w:ascii="宋体" w:hAnsi="宋体" w:eastAsia="宋体" w:cs="宋体"/>
      <w:kern w:val="0"/>
      <w:sz w:val="18"/>
      <w:szCs w:val="18"/>
    </w:rPr>
  </w:style>
  <w:style w:type="paragraph" w:customStyle="1" w:styleId="27">
    <w:name w:val="第一级标题"/>
    <w:basedOn w:val="1"/>
    <w:next w:val="1"/>
    <w:link w:val="28"/>
    <w:qFormat/>
    <w:uiPriority w:val="0"/>
    <w:pPr>
      <w:widowControl/>
      <w:spacing w:beforeLines="50" w:afterLines="50" w:line="360" w:lineRule="auto"/>
      <w:jc w:val="center"/>
      <w:outlineLvl w:val="0"/>
    </w:pPr>
    <w:rPr>
      <w:rFonts w:ascii="宋体" w:hAnsi="宋体" w:eastAsia="宋体" w:cs="宋体"/>
      <w:b/>
      <w:kern w:val="0"/>
      <w:sz w:val="32"/>
      <w:szCs w:val="24"/>
    </w:rPr>
  </w:style>
  <w:style w:type="character" w:customStyle="1" w:styleId="28">
    <w:name w:val="第一级标题 Char"/>
    <w:basedOn w:val="16"/>
    <w:link w:val="27"/>
    <w:qFormat/>
    <w:uiPriority w:val="0"/>
    <w:rPr>
      <w:rFonts w:ascii="宋体" w:hAnsi="宋体" w:eastAsia="宋体" w:cs="宋体"/>
      <w:b/>
      <w:kern w:val="0"/>
      <w:sz w:val="32"/>
      <w:szCs w:val="24"/>
    </w:rPr>
  </w:style>
  <w:style w:type="paragraph" w:customStyle="1" w:styleId="29">
    <w:name w:val="第三级标题"/>
    <w:basedOn w:val="1"/>
    <w:next w:val="1"/>
    <w:link w:val="30"/>
    <w:qFormat/>
    <w:uiPriority w:val="0"/>
    <w:pPr>
      <w:widowControl/>
      <w:spacing w:beforeLines="50" w:afterLines="50" w:line="360" w:lineRule="auto"/>
      <w:jc w:val="left"/>
      <w:outlineLvl w:val="2"/>
    </w:pPr>
    <w:rPr>
      <w:rFonts w:ascii="宋体" w:hAnsi="宋体" w:eastAsia="宋体" w:cs="宋体"/>
      <w:b/>
      <w:kern w:val="0"/>
      <w:sz w:val="24"/>
      <w:szCs w:val="24"/>
    </w:rPr>
  </w:style>
  <w:style w:type="character" w:customStyle="1" w:styleId="30">
    <w:name w:val="第三级标题 Char"/>
    <w:basedOn w:val="16"/>
    <w:link w:val="29"/>
    <w:qFormat/>
    <w:uiPriority w:val="0"/>
    <w:rPr>
      <w:rFonts w:ascii="宋体" w:hAnsi="宋体" w:eastAsia="宋体" w:cs="宋体"/>
      <w:b/>
      <w:kern w:val="0"/>
      <w:sz w:val="24"/>
      <w:szCs w:val="24"/>
    </w:rPr>
  </w:style>
  <w:style w:type="table" w:customStyle="1" w:styleId="31">
    <w:name w:val="Grid Table 4 Accent 1"/>
    <w:basedOn w:val="1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32">
    <w:name w:val="批注框文本 Char"/>
    <w:basedOn w:val="16"/>
    <w:link w:val="7"/>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2.png"/><Relationship Id="rId7" Type="http://schemas.openxmlformats.org/officeDocument/2006/relationships/theme" Target="theme/theme1.xml"/><Relationship Id="rId65" Type="http://schemas.openxmlformats.org/officeDocument/2006/relationships/glossaryDocument" Target="glossary/document.xml"/><Relationship Id="rId64" Type="http://schemas.openxmlformats.org/officeDocument/2006/relationships/fontTable" Target="fontTable.xml"/><Relationship Id="rId63" Type="http://schemas.openxmlformats.org/officeDocument/2006/relationships/customXml" Target="../customXml/item2.xml"/><Relationship Id="rId62" Type="http://schemas.openxmlformats.org/officeDocument/2006/relationships/customXml" Target="../customXml/item1.xml"/><Relationship Id="rId61" Type="http://schemas.openxmlformats.org/officeDocument/2006/relationships/chart" Target="charts/chart53.xml"/><Relationship Id="rId60" Type="http://schemas.openxmlformats.org/officeDocument/2006/relationships/chart" Target="charts/chart52.xml"/><Relationship Id="rId6" Type="http://schemas.openxmlformats.org/officeDocument/2006/relationships/footer" Target="footer3.xml"/><Relationship Id="rId59" Type="http://schemas.openxmlformats.org/officeDocument/2006/relationships/chart" Target="charts/chart51.xml"/><Relationship Id="rId58" Type="http://schemas.openxmlformats.org/officeDocument/2006/relationships/chart" Target="charts/chart50.xml"/><Relationship Id="rId57" Type="http://schemas.openxmlformats.org/officeDocument/2006/relationships/chart" Target="charts/chart49.xml"/><Relationship Id="rId56" Type="http://schemas.openxmlformats.org/officeDocument/2006/relationships/chart" Target="charts/chart48.xml"/><Relationship Id="rId55" Type="http://schemas.openxmlformats.org/officeDocument/2006/relationships/chart" Target="charts/chart47.xml"/><Relationship Id="rId54" Type="http://schemas.openxmlformats.org/officeDocument/2006/relationships/chart" Target="charts/chart46.xml"/><Relationship Id="rId53" Type="http://schemas.openxmlformats.org/officeDocument/2006/relationships/chart" Target="charts/chart45.xml"/><Relationship Id="rId52" Type="http://schemas.openxmlformats.org/officeDocument/2006/relationships/chart" Target="charts/chart44.xml"/><Relationship Id="rId51" Type="http://schemas.openxmlformats.org/officeDocument/2006/relationships/chart" Target="charts/chart43.xml"/><Relationship Id="rId50" Type="http://schemas.openxmlformats.org/officeDocument/2006/relationships/chart" Target="charts/chart42.xml"/><Relationship Id="rId5" Type="http://schemas.openxmlformats.org/officeDocument/2006/relationships/footer" Target="footer2.xml"/><Relationship Id="rId49" Type="http://schemas.openxmlformats.org/officeDocument/2006/relationships/chart" Target="charts/chart41.xml"/><Relationship Id="rId48" Type="http://schemas.openxmlformats.org/officeDocument/2006/relationships/chart" Target="charts/chart40.xml"/><Relationship Id="rId47" Type="http://schemas.openxmlformats.org/officeDocument/2006/relationships/chart" Target="charts/chart39.xml"/><Relationship Id="rId46" Type="http://schemas.openxmlformats.org/officeDocument/2006/relationships/chart" Target="charts/chart38.xml"/><Relationship Id="rId45" Type="http://schemas.openxmlformats.org/officeDocument/2006/relationships/chart" Target="charts/chart37.xml"/><Relationship Id="rId44" Type="http://schemas.openxmlformats.org/officeDocument/2006/relationships/chart" Target="charts/chart36.xml"/><Relationship Id="rId43" Type="http://schemas.openxmlformats.org/officeDocument/2006/relationships/chart" Target="charts/chart35.xml"/><Relationship Id="rId42" Type="http://schemas.openxmlformats.org/officeDocument/2006/relationships/chart" Target="charts/chart34.xml"/><Relationship Id="rId41" Type="http://schemas.openxmlformats.org/officeDocument/2006/relationships/chart" Target="charts/chart33.xml"/><Relationship Id="rId40" Type="http://schemas.openxmlformats.org/officeDocument/2006/relationships/chart" Target="charts/chart32.xml"/><Relationship Id="rId4" Type="http://schemas.openxmlformats.org/officeDocument/2006/relationships/footer" Target="footer1.xml"/><Relationship Id="rId39" Type="http://schemas.openxmlformats.org/officeDocument/2006/relationships/chart" Target="charts/chart31.xml"/><Relationship Id="rId38" Type="http://schemas.openxmlformats.org/officeDocument/2006/relationships/chart" Target="charts/chart30.xml"/><Relationship Id="rId37" Type="http://schemas.openxmlformats.org/officeDocument/2006/relationships/chart" Target="charts/chart29.xml"/><Relationship Id="rId36" Type="http://schemas.openxmlformats.org/officeDocument/2006/relationships/chart" Target="charts/chart28.xml"/><Relationship Id="rId35" Type="http://schemas.openxmlformats.org/officeDocument/2006/relationships/chart" Target="charts/chart27.xml"/><Relationship Id="rId34" Type="http://schemas.openxmlformats.org/officeDocument/2006/relationships/chart" Target="charts/chart26.xml"/><Relationship Id="rId33" Type="http://schemas.openxmlformats.org/officeDocument/2006/relationships/chart" Target="charts/chart25.xml"/><Relationship Id="rId32" Type="http://schemas.openxmlformats.org/officeDocument/2006/relationships/chart" Target="charts/chart24.xml"/><Relationship Id="rId31" Type="http://schemas.openxmlformats.org/officeDocument/2006/relationships/chart" Target="charts/chart23.xml"/><Relationship Id="rId30" Type="http://schemas.openxmlformats.org/officeDocument/2006/relationships/chart" Target="charts/chart22.xml"/><Relationship Id="rId3" Type="http://schemas.openxmlformats.org/officeDocument/2006/relationships/header" Target="header1.xml"/><Relationship Id="rId29" Type="http://schemas.openxmlformats.org/officeDocument/2006/relationships/chart" Target="charts/chart21.xml"/><Relationship Id="rId28" Type="http://schemas.openxmlformats.org/officeDocument/2006/relationships/chart" Target="charts/chart20.xml"/><Relationship Id="rId27" Type="http://schemas.openxmlformats.org/officeDocument/2006/relationships/chart" Target="charts/chart19.xml"/><Relationship Id="rId26" Type="http://schemas.openxmlformats.org/officeDocument/2006/relationships/chart" Target="charts/chart18.xml"/><Relationship Id="rId25" Type="http://schemas.openxmlformats.org/officeDocument/2006/relationships/chart" Target="charts/chart17.xml"/><Relationship Id="rId24" Type="http://schemas.openxmlformats.org/officeDocument/2006/relationships/chart" Target="charts/chart16.xml"/><Relationship Id="rId23" Type="http://schemas.openxmlformats.org/officeDocument/2006/relationships/chart" Target="charts/chart15.xml"/><Relationship Id="rId22" Type="http://schemas.openxmlformats.org/officeDocument/2006/relationships/chart" Target="charts/chart14.xml"/><Relationship Id="rId21" Type="http://schemas.openxmlformats.org/officeDocument/2006/relationships/chart" Target="charts/chart13.xml"/><Relationship Id="rId20" Type="http://schemas.openxmlformats.org/officeDocument/2006/relationships/chart" Target="charts/chart12.xml"/><Relationship Id="rId2" Type="http://schemas.openxmlformats.org/officeDocument/2006/relationships/settings" Target="settings.xml"/><Relationship Id="rId19" Type="http://schemas.openxmlformats.org/officeDocument/2006/relationships/chart" Target="charts/chart11.xml"/><Relationship Id="rId18" Type="http://schemas.openxmlformats.org/officeDocument/2006/relationships/chart" Target="charts/chart10.xml"/><Relationship Id="rId17" Type="http://schemas.openxmlformats.org/officeDocument/2006/relationships/chart" Target="charts/chart9.xml"/><Relationship Id="rId16" Type="http://schemas.openxmlformats.org/officeDocument/2006/relationships/chart" Target="charts/chart8.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C:\Users\lyc\Desktop\&#20185;&#26691;&#32844;&#19994;&#23398;&#38498;&#36235;&#21183;&#23545;&#27604;.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25253;&#21578;&#25776;&#20889;&#39033;&#30446;2017&#24180;\&#20185;&#26691;&#32844;&#19994;&#23398;&#38498;&#35843;&#30740;&#25253;&#21578;&#25776;&#20889;&#39033;&#30446;\&#22522;&#30784;&#25968;&#25454;&#21644;&#36235;&#21183;&#37096;&#20998;\2017&#23398;&#29983;&#23601;&#19994;&#22522;&#30784;&#25968;&#25454;.xlsx" TargetMode="External"/></Relationships>
</file>

<file path=word/charts/_rels/chart11.xml.rels><?xml version="1.0" encoding="UTF-8" standalone="yes"?>
<Relationships xmlns="http://schemas.openxmlformats.org/package/2006/relationships"><Relationship Id="rId6" Type="http://schemas.openxmlformats.org/officeDocument/2006/relationships/image" Target="../media/image11.png"/><Relationship Id="rId5" Type="http://schemas.openxmlformats.org/officeDocument/2006/relationships/image" Target="../media/image10.png"/><Relationship Id="rId4" Type="http://schemas.openxmlformats.org/officeDocument/2006/relationships/image" Target="../media/image9.png"/><Relationship Id="rId3" Type="http://schemas.openxmlformats.org/officeDocument/2006/relationships/image" Target="../media/image8.png"/><Relationship Id="rId2" Type="http://schemas.openxmlformats.org/officeDocument/2006/relationships/themeOverride" Target="../theme/themeOverride6.xml"/><Relationship Id="rId1" Type="http://schemas.openxmlformats.org/officeDocument/2006/relationships/oleObject" Target="file:///C:\Users\lyc\Desktop\2017&#23398;&#29983;&#23601;&#19994;&#22522;&#30784;&#25968;&#25454;.xlsx" TargetMode="External"/></Relationships>
</file>

<file path=word/charts/_rels/chart1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themeOverride" Target="../theme/themeOverride8.xml"/><Relationship Id="rId1" Type="http://schemas.openxmlformats.org/officeDocument/2006/relationships/oleObject" Target="file:///C:\Users\lyc\Desktop\2017&#23398;&#29983;&#23601;&#19994;&#22522;&#30784;&#25968;&#25454;.xlsx" TargetMode="External"/></Relationships>
</file>

<file path=word/charts/_rels/chart13.xml.rels><?xml version="1.0" encoding="UTF-8" standalone="yes"?>
<Relationships xmlns="http://schemas.openxmlformats.org/package/2006/relationships"><Relationship Id="rId2" Type="http://schemas.openxmlformats.org/officeDocument/2006/relationships/themeOverride" Target="../theme/themeOverride7.xml"/><Relationship Id="rId1" Type="http://schemas.openxmlformats.org/officeDocument/2006/relationships/oleObject" Target="file:///C:\Users\lyc\Desktop\&#20185;&#26691;&#32844;&#19994;&#23398;&#38498;&#36235;&#21183;&#23545;&#27604;.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25253;&#21578;&#25776;&#20889;&#39033;&#30446;2017&#24180;\&#20185;&#26691;&#32844;&#19994;&#23398;&#38498;&#35843;&#30740;&#25253;&#21578;&#25776;&#20889;&#39033;&#30446;\&#22522;&#30784;&#25968;&#25454;&#21644;&#36235;&#21183;&#37096;&#20998;\2017&#23398;&#29983;&#23601;&#19994;&#22522;&#30784;&#25968;&#25454;.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25253;&#21578;&#25776;&#20889;&#39033;&#30446;2017&#24180;\&#20185;&#26691;&#32844;&#19994;&#23398;&#38498;&#35843;&#30740;&#25253;&#21578;&#25776;&#20889;&#39033;&#30446;\&#22522;&#30784;&#25968;&#25454;&#21644;&#36235;&#21183;&#37096;&#20998;\2017&#23398;&#29983;&#23601;&#19994;&#22522;&#30784;&#25968;&#25454;.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25253;&#21578;&#25776;&#20889;&#39033;&#30446;2017&#24180;\&#20185;&#26691;&#32844;&#19994;&#23398;&#38498;&#35843;&#30740;&#25253;&#21578;&#25776;&#20889;&#39033;&#30446;\&#22522;&#30784;&#25968;&#25454;&#21644;&#36235;&#21183;&#37096;&#20998;\&#20185;&#26691;&#32844;&#19994;&#23398;&#38498;&#27605;&#19994;&#29983;&#35843;&#30740;&#25968;&#25454;&#20998;&#26512;.xlsx" TargetMode="External"/></Relationships>
</file>

<file path=word/charts/_rels/chart17.xml.rels><?xml version="1.0" encoding="UTF-8" standalone="yes"?>
<Relationships xmlns="http://schemas.openxmlformats.org/package/2006/relationships"><Relationship Id="rId2" Type="http://schemas.openxmlformats.org/officeDocument/2006/relationships/themeOverride" Target="../theme/themeOverride9.xml"/><Relationship Id="rId1" Type="http://schemas.openxmlformats.org/officeDocument/2006/relationships/oleObject" Target="&#24037;&#20316;&#31807;1" TargetMode="External"/></Relationships>
</file>

<file path=word/charts/_rels/chart18.xml.rels><?xml version="1.0" encoding="UTF-8" standalone="yes"?>
<Relationships xmlns="http://schemas.openxmlformats.org/package/2006/relationships"><Relationship Id="rId2" Type="http://schemas.openxmlformats.org/officeDocument/2006/relationships/themeOverride" Target="../theme/themeOverride10.xml"/><Relationship Id="rId1" Type="http://schemas.openxmlformats.org/officeDocument/2006/relationships/oleObject" Target="&#24037;&#20316;&#31807;1" TargetMode="External"/></Relationships>
</file>

<file path=word/charts/_rels/chart19.xml.rels><?xml version="1.0" encoding="UTF-8" standalone="yes"?>
<Relationships xmlns="http://schemas.openxmlformats.org/package/2006/relationships"><Relationship Id="rId2" Type="http://schemas.openxmlformats.org/officeDocument/2006/relationships/themeOverride" Target="../theme/themeOverride12.xml"/><Relationship Id="rId1" Type="http://schemas.openxmlformats.org/officeDocument/2006/relationships/oleObject" Target="file:///F:\&#25253;&#21578;&#25776;&#20889;&#39033;&#30446;2017&#24180;\&#20185;&#26691;&#32844;&#19994;&#23398;&#38498;&#35843;&#30740;&#25253;&#21578;&#25776;&#20889;&#39033;&#30446;\&#20185;&#26691;&#32844;&#19994;&#23398;&#38498;&#35843;&#30740;&#25968;&#25454;\&#20185;&#26691;&#32844;&#19994;&#23398;&#38498;2017&#23626;&#27605;&#19994;&#29983;&#23601;&#19994;&#36136;&#37327;&#35843;&#30740;-&#25972;&#29702;&#20998;&#26512;.xls" TargetMode="External"/></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3.xml"/><Relationship Id="rId1" Type="http://schemas.openxmlformats.org/officeDocument/2006/relationships/oleObject" Target="file:///C:\Users\lyc\Desktop\&#20185;&#26691;&#32844;&#19994;&#23398;&#38498;&#36235;&#21183;&#23545;&#27604;.xlsx" TargetMode="External"/></Relationships>
</file>

<file path=word/charts/_rels/chart20.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themeOverride" Target="../theme/themeOverride11.xml"/><Relationship Id="rId1" Type="http://schemas.openxmlformats.org/officeDocument/2006/relationships/oleObject" Target="&#24037;&#20316;&#31807;1" TargetMode="External"/></Relationships>
</file>

<file path=word/charts/_rels/chart21.xml.rels><?xml version="1.0" encoding="UTF-8" standalone="yes"?>
<Relationships xmlns="http://schemas.openxmlformats.org/package/2006/relationships"><Relationship Id="rId2" Type="http://schemas.openxmlformats.org/officeDocument/2006/relationships/themeOverride" Target="../theme/themeOverride13.xml"/><Relationship Id="rId1" Type="http://schemas.openxmlformats.org/officeDocument/2006/relationships/oleObject" Target="&#24037;&#20316;&#31807;1"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E:\&#25253;&#21578;&#25776;&#20889;&#39033;&#30446;2017&#24180;\&#20185;&#26691;&#32844;&#19994;&#23398;&#38498;&#35843;&#30740;&#25253;&#21578;&#25776;&#20889;&#39033;&#30446;\&#22522;&#30784;&#25968;&#25454;&#21644;&#36235;&#21183;&#37096;&#20998;\&#20185;&#26691;&#32844;&#19994;&#23398;&#38498;&#27605;&#19994;&#29983;&#35843;&#30740;&#25968;&#25454;&#20998;&#26512;.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E:\&#25253;&#21578;&#25776;&#20889;&#39033;&#30446;2017&#24180;\&#20185;&#26691;&#32844;&#19994;&#23398;&#38498;&#35843;&#30740;&#25253;&#21578;&#25776;&#20889;&#39033;&#30446;\&#22522;&#30784;&#25968;&#25454;&#21644;&#36235;&#21183;&#37096;&#20998;\&#20185;&#26691;&#32844;&#19994;&#23398;&#38498;&#27605;&#19994;&#29983;&#35843;&#30740;&#25968;&#25454;&#20998;&#26512;.xlsx" TargetMode="External"/></Relationships>
</file>

<file path=word/charts/_rels/chart24.xml.rels><?xml version="1.0" encoding="UTF-8" standalone="yes"?>
<Relationships xmlns="http://schemas.openxmlformats.org/package/2006/relationships"><Relationship Id="rId2" Type="http://schemas.openxmlformats.org/officeDocument/2006/relationships/themeOverride" Target="../theme/themeOverride15.xml"/><Relationship Id="rId1" Type="http://schemas.openxmlformats.org/officeDocument/2006/relationships/oleObject" Target="&#24037;&#20316;&#31807;1" TargetMode="External"/></Relationships>
</file>

<file path=word/charts/_rels/chart25.xml.rels><?xml version="1.0" encoding="UTF-8" standalone="yes"?>
<Relationships xmlns="http://schemas.openxmlformats.org/package/2006/relationships"><Relationship Id="rId2" Type="http://schemas.openxmlformats.org/officeDocument/2006/relationships/themeOverride" Target="../theme/themeOverride14.xml"/><Relationship Id="rId1" Type="http://schemas.openxmlformats.org/officeDocument/2006/relationships/oleObject" Target="&#24037;&#20316;&#31807;1" TargetMode="External"/></Relationships>
</file>

<file path=word/charts/_rels/chart26.xml.rels><?xml version="1.0" encoding="UTF-8" standalone="yes"?>
<Relationships xmlns="http://schemas.openxmlformats.org/package/2006/relationships"><Relationship Id="rId4" Type="http://schemas.openxmlformats.org/officeDocument/2006/relationships/image" Target="../media/image16.png"/><Relationship Id="rId3" Type="http://schemas.openxmlformats.org/officeDocument/2006/relationships/image" Target="../media/image15.png"/><Relationship Id="rId2" Type="http://schemas.openxmlformats.org/officeDocument/2006/relationships/themeOverride" Target="../theme/themeOverride17.xml"/><Relationship Id="rId1" Type="http://schemas.openxmlformats.org/officeDocument/2006/relationships/oleObject" Target="&#24037;&#20316;&#31807;1" TargetMode="External"/></Relationships>
</file>

<file path=word/charts/_rels/chart27.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themeOverride" Target="../theme/themeOverride16.xml"/><Relationship Id="rId1" Type="http://schemas.openxmlformats.org/officeDocument/2006/relationships/oleObject" Target="&#24037;&#20316;&#31807;1" TargetMode="External"/></Relationships>
</file>

<file path=word/charts/_rels/chart28.xml.rels><?xml version="1.0" encoding="UTF-8" standalone="yes"?>
<Relationships xmlns="http://schemas.openxmlformats.org/package/2006/relationships"><Relationship Id="rId2" Type="http://schemas.openxmlformats.org/officeDocument/2006/relationships/themeOverride" Target="../theme/themeOverride18.xml"/><Relationship Id="rId1" Type="http://schemas.openxmlformats.org/officeDocument/2006/relationships/oleObject" Target="&#24037;&#20316;&#31807;1" TargetMode="External"/></Relationships>
</file>

<file path=word/charts/_rels/chart29.xml.rels><?xml version="1.0" encoding="UTF-8" standalone="yes"?>
<Relationships xmlns="http://schemas.openxmlformats.org/package/2006/relationships"><Relationship Id="rId2" Type="http://schemas.openxmlformats.org/officeDocument/2006/relationships/themeOverride" Target="../theme/themeOverride19.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4.xml"/><Relationship Id="rId1" Type="http://schemas.openxmlformats.org/officeDocument/2006/relationships/oleObject" Target="file:///C:\Users\lyc\Desktop\&#20185;&#26691;&#32844;&#19994;&#23398;&#38498;&#36235;&#21183;&#23545;&#27604;.xlsx" TargetMode="External"/></Relationships>
</file>

<file path=word/charts/_rels/chart30.xml.rels><?xml version="1.0" encoding="UTF-8" standalone="yes"?>
<Relationships xmlns="http://schemas.openxmlformats.org/package/2006/relationships"><Relationship Id="rId2" Type="http://schemas.openxmlformats.org/officeDocument/2006/relationships/themeOverride" Target="../theme/themeOverride23.xml"/><Relationship Id="rId1" Type="http://schemas.openxmlformats.org/officeDocument/2006/relationships/oleObject" Target="&#24037;&#20316;&#31807;1" TargetMode="External"/></Relationships>
</file>

<file path=word/charts/_rels/chart31.xml.rels><?xml version="1.0" encoding="UTF-8" standalone="yes"?>
<Relationships xmlns="http://schemas.openxmlformats.org/package/2006/relationships"><Relationship Id="rId6" Type="http://schemas.openxmlformats.org/officeDocument/2006/relationships/image" Target="../media/image20.png"/><Relationship Id="rId5" Type="http://schemas.openxmlformats.org/officeDocument/2006/relationships/image" Target="../media/image19.png"/><Relationship Id="rId4" Type="http://schemas.openxmlformats.org/officeDocument/2006/relationships/image" Target="../media/image18.png"/><Relationship Id="rId3" Type="http://schemas.openxmlformats.org/officeDocument/2006/relationships/image" Target="../media/image17.png"/><Relationship Id="rId2" Type="http://schemas.openxmlformats.org/officeDocument/2006/relationships/themeOverride" Target="../theme/themeOverride20.xml"/><Relationship Id="rId1" Type="http://schemas.openxmlformats.org/officeDocument/2006/relationships/oleObject" Target="&#24037;&#20316;&#31807;1" TargetMode="External"/></Relationships>
</file>

<file path=word/charts/_rels/chart32.xml.rels><?xml version="1.0" encoding="UTF-8" standalone="yes"?>
<Relationships xmlns="http://schemas.openxmlformats.org/package/2006/relationships"><Relationship Id="rId2" Type="http://schemas.openxmlformats.org/officeDocument/2006/relationships/themeOverride" Target="../theme/themeOverride22.xml"/><Relationship Id="rId1" Type="http://schemas.openxmlformats.org/officeDocument/2006/relationships/oleObject" Target="&#24037;&#20316;&#31807;1" TargetMode="External"/></Relationships>
</file>

<file path=word/charts/_rels/chart33.xml.rels><?xml version="1.0" encoding="UTF-8" standalone="yes"?>
<Relationships xmlns="http://schemas.openxmlformats.org/package/2006/relationships"><Relationship Id="rId2" Type="http://schemas.openxmlformats.org/officeDocument/2006/relationships/themeOverride" Target="../theme/themeOverride21.xml"/><Relationship Id="rId1" Type="http://schemas.openxmlformats.org/officeDocument/2006/relationships/oleObject" Target="&#24037;&#20316;&#31807;1" TargetMode="External"/></Relationships>
</file>

<file path=word/charts/_rels/chart34.xml.rels><?xml version="1.0" encoding="UTF-8" standalone="yes"?>
<Relationships xmlns="http://schemas.openxmlformats.org/package/2006/relationships"><Relationship Id="rId2" Type="http://schemas.openxmlformats.org/officeDocument/2006/relationships/themeOverride" Target="../theme/themeOverride24.xml"/><Relationship Id="rId1" Type="http://schemas.openxmlformats.org/officeDocument/2006/relationships/oleObject" Target="&#24037;&#20316;&#31807;1" TargetMode="External"/></Relationships>
</file>

<file path=word/charts/_rels/chart35.xml.rels><?xml version="1.0" encoding="UTF-8" standalone="yes"?>
<Relationships xmlns="http://schemas.openxmlformats.org/package/2006/relationships"><Relationship Id="rId2" Type="http://schemas.openxmlformats.org/officeDocument/2006/relationships/themeOverride" Target="../theme/themeOverride27.xml"/><Relationship Id="rId1" Type="http://schemas.openxmlformats.org/officeDocument/2006/relationships/oleObject" Target="&#24037;&#20316;&#31807;1" TargetMode="External"/></Relationships>
</file>

<file path=word/charts/_rels/chart36.xml.rels><?xml version="1.0" encoding="UTF-8" standalone="yes"?>
<Relationships xmlns="http://schemas.openxmlformats.org/package/2006/relationships"><Relationship Id="rId8" Type="http://schemas.openxmlformats.org/officeDocument/2006/relationships/image" Target="../media/image26.png"/><Relationship Id="rId7" Type="http://schemas.openxmlformats.org/officeDocument/2006/relationships/image" Target="../media/image25.png"/><Relationship Id="rId6" Type="http://schemas.openxmlformats.org/officeDocument/2006/relationships/image" Target="../media/image24.png"/><Relationship Id="rId5" Type="http://schemas.openxmlformats.org/officeDocument/2006/relationships/image" Target="../media/image23.png"/><Relationship Id="rId4" Type="http://schemas.openxmlformats.org/officeDocument/2006/relationships/image" Target="../media/image22.png"/><Relationship Id="rId3" Type="http://schemas.openxmlformats.org/officeDocument/2006/relationships/image" Target="../media/image21.png"/><Relationship Id="rId2" Type="http://schemas.openxmlformats.org/officeDocument/2006/relationships/themeOverride" Target="../theme/themeOverride26.xml"/><Relationship Id="rId1" Type="http://schemas.openxmlformats.org/officeDocument/2006/relationships/oleObject" Target="&#24037;&#20316;&#31807;1" TargetMode="External"/></Relationships>
</file>

<file path=word/charts/_rels/chart37.xml.rels><?xml version="1.0" encoding="UTF-8" standalone="yes"?>
<Relationships xmlns="http://schemas.openxmlformats.org/package/2006/relationships"><Relationship Id="rId2" Type="http://schemas.openxmlformats.org/officeDocument/2006/relationships/themeOverride" Target="../theme/themeOverride25.xml"/><Relationship Id="rId1" Type="http://schemas.openxmlformats.org/officeDocument/2006/relationships/oleObject" Target="&#24037;&#20316;&#31807;1" TargetMode="External"/></Relationships>
</file>

<file path=word/charts/_rels/chart38.xml.rels><?xml version="1.0" encoding="UTF-8" standalone="yes"?>
<Relationships xmlns="http://schemas.openxmlformats.org/package/2006/relationships"><Relationship Id="rId6" Type="http://schemas.openxmlformats.org/officeDocument/2006/relationships/image" Target="../media/image30.png"/><Relationship Id="rId5" Type="http://schemas.openxmlformats.org/officeDocument/2006/relationships/image" Target="../media/image29.png"/><Relationship Id="rId4" Type="http://schemas.openxmlformats.org/officeDocument/2006/relationships/image" Target="../media/image28.png"/><Relationship Id="rId3" Type="http://schemas.openxmlformats.org/officeDocument/2006/relationships/image" Target="../media/image27.png"/><Relationship Id="rId2" Type="http://schemas.openxmlformats.org/officeDocument/2006/relationships/themeOverride" Target="../theme/themeOverride28.xml"/><Relationship Id="rId1" Type="http://schemas.openxmlformats.org/officeDocument/2006/relationships/oleObject" Target="&#24037;&#20316;&#31807;1" TargetMode="External"/></Relationships>
</file>

<file path=word/charts/_rels/chart39.xml.rels><?xml version="1.0" encoding="UTF-8" standalone="yes"?>
<Relationships xmlns="http://schemas.openxmlformats.org/package/2006/relationships"><Relationship Id="rId2" Type="http://schemas.openxmlformats.org/officeDocument/2006/relationships/themeOverride" Target="../theme/themeOverride29.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4" Type="http://schemas.openxmlformats.org/officeDocument/2006/relationships/image" Target="../media/image4.png"/><Relationship Id="rId3" Type="http://schemas.openxmlformats.org/officeDocument/2006/relationships/image" Target="../media/image3.png"/><Relationship Id="rId2" Type="http://schemas.openxmlformats.org/officeDocument/2006/relationships/themeOverride" Target="../theme/themeOverride5.xml"/><Relationship Id="rId1" Type="http://schemas.openxmlformats.org/officeDocument/2006/relationships/oleObject" Target="file:///C:\Users\lyc\Desktop\2017&#23398;&#29983;&#23601;&#19994;&#22522;&#30784;&#25968;&#25454;.xlsx" TargetMode="External"/></Relationships>
</file>

<file path=word/charts/_rels/chart40.xml.rels><?xml version="1.0" encoding="UTF-8" standalone="yes"?>
<Relationships xmlns="http://schemas.openxmlformats.org/package/2006/relationships"><Relationship Id="rId2" Type="http://schemas.openxmlformats.org/officeDocument/2006/relationships/themeOverride" Target="../theme/themeOverride31.xml"/><Relationship Id="rId1" Type="http://schemas.openxmlformats.org/officeDocument/2006/relationships/oleObject" Target="&#24037;&#20316;&#31807;1" TargetMode="External"/></Relationships>
</file>

<file path=word/charts/_rels/chart41.xml.rels><?xml version="1.0" encoding="UTF-8" standalone="yes"?>
<Relationships xmlns="http://schemas.openxmlformats.org/package/2006/relationships"><Relationship Id="rId2" Type="http://schemas.openxmlformats.org/officeDocument/2006/relationships/themeOverride" Target="../theme/themeOverride32.xml"/><Relationship Id="rId1" Type="http://schemas.openxmlformats.org/officeDocument/2006/relationships/oleObject" Target="&#24037;&#20316;&#31807;1" TargetMode="External"/></Relationships>
</file>

<file path=word/charts/_rels/chart42.xml.rels><?xml version="1.0" encoding="UTF-8" standalone="yes"?>
<Relationships xmlns="http://schemas.openxmlformats.org/package/2006/relationships"><Relationship Id="rId2" Type="http://schemas.openxmlformats.org/officeDocument/2006/relationships/themeOverride" Target="../theme/themeOverride30.xml"/><Relationship Id="rId1" Type="http://schemas.openxmlformats.org/officeDocument/2006/relationships/oleObject" Target="file:///F:\&#25253;&#21578;&#25776;&#20889;&#39033;&#30446;2017&#24180;\&#20185;&#26691;&#32844;&#19994;&#23398;&#38498;&#35843;&#30740;&#25253;&#21578;&#25776;&#20889;&#39033;&#30446;\&#20185;&#26691;&#32844;&#19994;&#23398;&#38498;&#35843;&#30740;&#25968;&#25454;\&#20185;&#26691;&#32844;&#19994;&#23398;&#38498;&#29992;&#20154;&#21333;&#20301;&#35843;&#30740;&#25968;&#25454;-&#25972;&#29702;&#20998;&#26512;.xls" TargetMode="External"/></Relationships>
</file>

<file path=word/charts/_rels/chart43.xml.rels><?xml version="1.0" encoding="UTF-8" standalone="yes"?>
<Relationships xmlns="http://schemas.openxmlformats.org/package/2006/relationships"><Relationship Id="rId2" Type="http://schemas.openxmlformats.org/officeDocument/2006/relationships/themeOverride" Target="../theme/themeOverride34.xml"/><Relationship Id="rId1" Type="http://schemas.openxmlformats.org/officeDocument/2006/relationships/oleObject" Target="file:///F:\&#25253;&#21578;&#25776;&#20889;&#39033;&#30446;2017&#24180;\&#20185;&#26691;&#32844;&#19994;&#23398;&#38498;&#35843;&#30740;&#25253;&#21578;&#25776;&#20889;&#39033;&#30446;\&#20185;&#26691;&#32844;&#19994;&#23398;&#38498;&#35843;&#30740;&#25968;&#25454;\&#20185;&#26691;&#32844;&#19994;&#23398;&#38498;&#29992;&#20154;&#21333;&#20301;&#35843;&#30740;&#25968;&#25454;-&#25972;&#29702;&#20998;&#26512;.xls" TargetMode="External"/></Relationships>
</file>

<file path=word/charts/_rels/chart44.xml.rels><?xml version="1.0" encoding="UTF-8" standalone="yes"?>
<Relationships xmlns="http://schemas.openxmlformats.org/package/2006/relationships"><Relationship Id="rId2" Type="http://schemas.openxmlformats.org/officeDocument/2006/relationships/themeOverride" Target="../theme/themeOverride33.xml"/><Relationship Id="rId1" Type="http://schemas.openxmlformats.org/officeDocument/2006/relationships/oleObject" Target="file:///F:\&#25253;&#21578;&#25776;&#20889;&#39033;&#30446;2017&#24180;\&#20185;&#26691;&#32844;&#19994;&#23398;&#38498;&#35843;&#30740;&#25253;&#21578;&#25776;&#20889;&#39033;&#30446;\&#20185;&#26691;&#32844;&#19994;&#23398;&#38498;&#35843;&#30740;&#25968;&#25454;\&#20185;&#26691;&#32844;&#19994;&#23398;&#38498;&#29992;&#20154;&#21333;&#20301;&#35843;&#30740;&#25968;&#25454;-&#25972;&#29702;&#20998;&#26512;.xls" TargetMode="External"/></Relationships>
</file>

<file path=word/charts/_rels/chart45.xml.rels><?xml version="1.0" encoding="UTF-8" standalone="yes"?>
<Relationships xmlns="http://schemas.openxmlformats.org/package/2006/relationships"><Relationship Id="rId2" Type="http://schemas.openxmlformats.org/officeDocument/2006/relationships/themeOverride" Target="../theme/themeOverride35.xml"/><Relationship Id="rId1" Type="http://schemas.openxmlformats.org/officeDocument/2006/relationships/oleObject" Target="file:///F:\&#25253;&#21578;&#25776;&#20889;&#39033;&#30446;2017&#24180;\&#20185;&#26691;&#32844;&#19994;&#23398;&#38498;&#35843;&#30740;&#25253;&#21578;&#25776;&#20889;&#39033;&#30446;\&#20185;&#26691;&#32844;&#19994;&#23398;&#38498;&#35843;&#30740;&#25968;&#25454;\&#20185;&#26691;&#32844;&#19994;&#23398;&#38498;&#29992;&#20154;&#21333;&#20301;&#35843;&#30740;&#25968;&#25454;-&#25972;&#29702;&#20998;&#26512;.xls" TargetMode="External"/></Relationships>
</file>

<file path=word/charts/_rels/chart46.xml.rels><?xml version="1.0" encoding="UTF-8" standalone="yes"?>
<Relationships xmlns="http://schemas.openxmlformats.org/package/2006/relationships"><Relationship Id="rId7" Type="http://schemas.openxmlformats.org/officeDocument/2006/relationships/image" Target="../media/image25.png"/><Relationship Id="rId6" Type="http://schemas.openxmlformats.org/officeDocument/2006/relationships/image" Target="../media/image24.png"/><Relationship Id="rId5" Type="http://schemas.openxmlformats.org/officeDocument/2006/relationships/image" Target="../media/image23.png"/><Relationship Id="rId4" Type="http://schemas.openxmlformats.org/officeDocument/2006/relationships/image" Target="../media/image22.png"/><Relationship Id="rId3" Type="http://schemas.openxmlformats.org/officeDocument/2006/relationships/image" Target="../media/image21.png"/><Relationship Id="rId2" Type="http://schemas.openxmlformats.org/officeDocument/2006/relationships/themeOverride" Target="../theme/themeOverride37.xml"/><Relationship Id="rId1" Type="http://schemas.openxmlformats.org/officeDocument/2006/relationships/oleObject" Target="file:///F:\&#25253;&#21578;&#25776;&#20889;&#39033;&#30446;2017&#24180;\&#20185;&#26691;&#32844;&#19994;&#23398;&#38498;&#35843;&#30740;&#25253;&#21578;&#25776;&#20889;&#39033;&#30446;\&#20185;&#26691;&#32844;&#19994;&#23398;&#38498;&#35843;&#30740;&#25968;&#25454;\&#20185;&#26691;&#32844;&#19994;&#23398;&#38498;&#29992;&#20154;&#21333;&#20301;&#35843;&#30740;&#25968;&#25454;-&#25972;&#29702;&#20998;&#26512;.xls" TargetMode="External"/></Relationships>
</file>

<file path=word/charts/_rels/chart47.xml.rels><?xml version="1.0" encoding="UTF-8" standalone="yes"?>
<Relationships xmlns="http://schemas.openxmlformats.org/package/2006/relationships"><Relationship Id="rId2" Type="http://schemas.openxmlformats.org/officeDocument/2006/relationships/themeOverride" Target="../theme/themeOverride39.xml"/><Relationship Id="rId1" Type="http://schemas.openxmlformats.org/officeDocument/2006/relationships/oleObject" Target="file:///C:\Users\lyc\AppData\Roaming\Microsoft\Excel\&#36149;&#24030;&#33322;&#22825;&#32844;&#19994;&#25216;&#26415;&#23398;&#38498;-&#35843;&#30740;&#25968;&#25454;%20(version%201).xlsb" TargetMode="External"/></Relationships>
</file>

<file path=word/charts/_rels/chart48.xml.rels><?xml version="1.0" encoding="UTF-8" standalone="yes"?>
<Relationships xmlns="http://schemas.openxmlformats.org/package/2006/relationships"><Relationship Id="rId2" Type="http://schemas.openxmlformats.org/officeDocument/2006/relationships/themeOverride" Target="../theme/themeOverride36.xml"/><Relationship Id="rId1" Type="http://schemas.openxmlformats.org/officeDocument/2006/relationships/oleObject" Target="file:///C:\Users\lyc\Desktop\&#20185;&#26691;&#32844;&#19994;&#23398;&#38498;&#29992;&#20154;&#21333;&#20301;&#20316;&#22270;.xlsx" TargetMode="External"/></Relationships>
</file>

<file path=word/charts/_rels/chart49.xml.rels><?xml version="1.0" encoding="UTF-8" standalone="yes"?>
<Relationships xmlns="http://schemas.openxmlformats.org/package/2006/relationships"><Relationship Id="rId2" Type="http://schemas.openxmlformats.org/officeDocument/2006/relationships/themeOverride" Target="../theme/themeOverride40.xml"/><Relationship Id="rId1" Type="http://schemas.openxmlformats.org/officeDocument/2006/relationships/oleObject" Target="file:///C:\Users\lyc\Desktop\&#20185;&#26691;&#32844;&#19994;&#23398;&#38498;&#29992;&#20154;&#21333;&#20301;&#20316;&#22270;.xlsx" TargetMode="External"/></Relationships>
</file>

<file path=word/charts/_rels/chart5.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oleObject" Target="file:///C:\Users\lyc\Desktop\2017&#23398;&#29983;&#23601;&#19994;&#22522;&#30784;&#25968;&#25454;.xlsx" TargetMode="External"/></Relationships>
</file>

<file path=word/charts/_rels/chart50.xml.rels><?xml version="1.0" encoding="UTF-8" standalone="yes"?>
<Relationships xmlns="http://schemas.openxmlformats.org/package/2006/relationships"><Relationship Id="rId2" Type="http://schemas.openxmlformats.org/officeDocument/2006/relationships/themeOverride" Target="../theme/themeOverride38.xml"/><Relationship Id="rId1" Type="http://schemas.openxmlformats.org/officeDocument/2006/relationships/oleObject" Target="file:///C:\Users\lyc\Desktop\&#20185;&#26691;&#32844;&#19994;&#23398;&#38498;&#29992;&#20154;&#21333;&#20301;&#20316;&#22270;.xlsx" TargetMode="External"/></Relationships>
</file>

<file path=word/charts/_rels/chart51.xml.rels><?xml version="1.0" encoding="UTF-8" standalone="yes"?>
<Relationships xmlns="http://schemas.openxmlformats.org/package/2006/relationships"><Relationship Id="rId2" Type="http://schemas.openxmlformats.org/officeDocument/2006/relationships/themeOverride" Target="../theme/themeOverride42.xml"/><Relationship Id="rId1" Type="http://schemas.openxmlformats.org/officeDocument/2006/relationships/oleObject" Target="file:///C:\Users\lyc\Desktop\&#20185;&#26691;&#32844;&#19994;&#23398;&#38498;&#29992;&#20154;&#21333;&#20301;&#20316;&#22270;.xlsx" TargetMode="External"/></Relationships>
</file>

<file path=word/charts/_rels/chart52.xml.rels><?xml version="1.0" encoding="UTF-8" standalone="yes"?>
<Relationships xmlns="http://schemas.openxmlformats.org/package/2006/relationships"><Relationship Id="rId2" Type="http://schemas.openxmlformats.org/officeDocument/2006/relationships/themeOverride" Target="../theme/themeOverride43.xml"/><Relationship Id="rId1" Type="http://schemas.openxmlformats.org/officeDocument/2006/relationships/oleObject" Target="file:///C:\Users\lyc\Desktop\&#20185;&#26691;&#32844;&#19994;&#23398;&#38498;&#29992;&#20154;&#21333;&#20301;&#20316;&#22270;.xlsx" TargetMode="External"/></Relationships>
</file>

<file path=word/charts/_rels/chart53.xml.rels><?xml version="1.0" encoding="UTF-8" standalone="yes"?>
<Relationships xmlns="http://schemas.openxmlformats.org/package/2006/relationships"><Relationship Id="rId2" Type="http://schemas.openxmlformats.org/officeDocument/2006/relationships/themeOverride" Target="../theme/themeOverride41.xml"/><Relationship Id="rId1" Type="http://schemas.openxmlformats.org/officeDocument/2006/relationships/oleObject" Target="file:///C:\Users\lyc\Desktop\&#20185;&#26691;&#32844;&#19994;&#23398;&#38498;&#29992;&#20154;&#21333;&#20301;&#20316;&#22270;.xlsx" TargetMode="External"/></Relationships>
</file>

<file path=word/charts/_rels/chart6.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oleObject" Target="file:///E:\&#25253;&#21578;&#25776;&#20889;&#39033;&#30446;2017&#24180;\&#20185;&#26691;&#32844;&#19994;&#23398;&#38498;&#35843;&#30740;&#25253;&#21578;&#25776;&#20889;&#39033;&#30446;\&#22522;&#30784;&#25968;&#25454;&#21644;&#36235;&#21183;&#37096;&#20998;\2017&#23398;&#29983;&#23601;&#19994;&#22522;&#30784;&#25968;&#25454;.xlsx" TargetMode="External"/></Relationships>
</file>

<file path=word/charts/_rels/chart7.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oleObject" Target="file:///E:\&#25253;&#21578;&#25776;&#20889;&#39033;&#30446;2017&#24180;\&#20185;&#26691;&#32844;&#19994;&#23398;&#38498;&#35843;&#30740;&#25253;&#21578;&#25776;&#20889;&#39033;&#30446;\&#22522;&#30784;&#25968;&#25454;&#21644;&#36235;&#21183;&#37096;&#20998;\2017&#23398;&#29983;&#23601;&#19994;&#22522;&#30784;&#25968;&#25454;.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25253;&#21578;&#25776;&#20889;&#39033;&#30446;2017&#24180;\&#20185;&#26691;&#32844;&#19994;&#23398;&#38498;&#35843;&#30740;&#25253;&#21578;&#25776;&#20889;&#39033;&#30446;\&#22522;&#30784;&#25968;&#25454;&#21644;&#36235;&#21183;&#37096;&#20998;\2017&#23398;&#29983;&#23601;&#19994;&#22522;&#30784;&#25968;&#2545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25253;&#21578;&#25776;&#20889;&#39033;&#30446;2017&#24180;\&#20185;&#26691;&#32844;&#19994;&#23398;&#38498;&#35843;&#30740;&#25253;&#21578;&#25776;&#20889;&#39033;&#30446;\&#22522;&#30784;&#25968;&#25454;&#21644;&#36235;&#21183;&#37096;&#20998;\2017&#23398;&#29983;&#23601;&#19994;&#22522;&#30784;&#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0133318192770751"/>
          <c:y val="0.0224376911563741"/>
          <c:w val="0.986668180722924"/>
          <c:h val="0.902246111798009"/>
        </c:manualLayout>
      </c:layout>
      <c:doughnutChart>
        <c:varyColors val="1"/>
        <c:ser>
          <c:idx val="0"/>
          <c:order val="0"/>
          <c:explosion val="6"/>
          <c:dPt>
            <c:idx val="0"/>
            <c:bubble3D val="0"/>
            <c:spPr>
              <a:solidFill>
                <a:srgbClr val="00B0F0"/>
              </a:solidFill>
              <a:ln w="19050">
                <a:solidFill>
                  <a:schemeClr val="lt1"/>
                </a:solidFill>
              </a:ln>
              <a:effectLst>
                <a:innerShdw blurRad="114300">
                  <a:schemeClr val="accent1"/>
                </a:innerShdw>
              </a:effectLst>
            </c:spPr>
          </c:dPt>
          <c:dPt>
            <c:idx val="1"/>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dPt>
          <c:dLbls>
            <c:delete val="1"/>
          </c:dLbls>
          <c:val>
            <c:numRef>
              <c:f>'2017届数据'!$H$5:$I$5</c:f>
              <c:numCache>
                <c:formatCode>0.00%</c:formatCode>
                <c:ptCount val="2"/>
                <c:pt idx="0">
                  <c:v>0.35737607598694</c:v>
                </c:pt>
                <c:pt idx="1">
                  <c:v>1</c:v>
                </c:pt>
              </c:numCache>
            </c:numRef>
          </c:val>
        </c:ser>
        <c:dLbls>
          <c:showLegendKey val="0"/>
          <c:showVal val="0"/>
          <c:showCatName val="0"/>
          <c:showSerName val="0"/>
          <c:showPercent val="0"/>
          <c:showBubbleSize val="0"/>
          <c:showLeaderLines val="1"/>
        </c:dLbls>
        <c:firstSliceAng val="40"/>
        <c:holeSize val="76"/>
      </c:doughnutChart>
      <c:spPr>
        <a:noFill/>
        <a:ln>
          <a:noFill/>
        </a:ln>
        <a:effectLst/>
      </c:spPr>
    </c:plotArea>
    <c:plotVisOnly val="1"/>
    <c:dispBlanksAs val="zero"/>
    <c:showDLblsOverMax val="0"/>
  </c:chart>
  <c:spPr>
    <a:solidFill>
      <a:schemeClr val="bg1"/>
    </a:solidFill>
    <a:ln w="19050" cap="flat" cmpd="sng" algn="ctr">
      <a:solidFill>
        <a:srgbClr val="00B0F0"/>
      </a:solidFill>
      <a:prstDash val="sysDot"/>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修改调整作图!$D$220:$D$235</c:f>
              <c:strCache>
                <c:ptCount val="16"/>
                <c:pt idx="0">
                  <c:v>卫生专业技术人员</c:v>
                </c:pt>
                <c:pt idx="1">
                  <c:v>其他人员</c:v>
                </c:pt>
                <c:pt idx="2">
                  <c:v>教学人员</c:v>
                </c:pt>
                <c:pt idx="3">
                  <c:v>办事人员和有关人员</c:v>
                </c:pt>
                <c:pt idx="4">
                  <c:v>工程技术人员</c:v>
                </c:pt>
                <c:pt idx="5">
                  <c:v>生产和运输设备操作人员</c:v>
                </c:pt>
                <c:pt idx="6">
                  <c:v>商业和服务业人员</c:v>
                </c:pt>
                <c:pt idx="7">
                  <c:v>其他专业技术人员</c:v>
                </c:pt>
                <c:pt idx="8">
                  <c:v>经济业务人员</c:v>
                </c:pt>
                <c:pt idx="9">
                  <c:v>金融业务人员</c:v>
                </c:pt>
                <c:pt idx="10">
                  <c:v>文学艺术工作人员</c:v>
                </c:pt>
                <c:pt idx="11">
                  <c:v>农林牧渔业技术人员</c:v>
                </c:pt>
                <c:pt idx="12">
                  <c:v>公务员</c:v>
                </c:pt>
                <c:pt idx="13">
                  <c:v>军人</c:v>
                </c:pt>
                <c:pt idx="14">
                  <c:v>新闻出版和文化工作人员</c:v>
                </c:pt>
                <c:pt idx="15">
                  <c:v>法律专业人员</c:v>
                </c:pt>
              </c:strCache>
            </c:strRef>
          </c:cat>
          <c:val>
            <c:numRef>
              <c:f>修改调整作图!$F$220:$F$235</c:f>
              <c:numCache>
                <c:formatCode>0.00%</c:formatCode>
                <c:ptCount val="16"/>
                <c:pt idx="0">
                  <c:v>0.468591370558376</c:v>
                </c:pt>
                <c:pt idx="1">
                  <c:v>0.101522842639594</c:v>
                </c:pt>
                <c:pt idx="2">
                  <c:v>0.0828045685279189</c:v>
                </c:pt>
                <c:pt idx="3">
                  <c:v>0.0694796954314721</c:v>
                </c:pt>
                <c:pt idx="4">
                  <c:v>0.0644035532994924</c:v>
                </c:pt>
                <c:pt idx="5">
                  <c:v>0.0612309644670051</c:v>
                </c:pt>
                <c:pt idx="6">
                  <c:v>0.0552030456852791</c:v>
                </c:pt>
                <c:pt idx="7">
                  <c:v>0.0504441624365482</c:v>
                </c:pt>
                <c:pt idx="8">
                  <c:v>0.0199873096446701</c:v>
                </c:pt>
                <c:pt idx="9">
                  <c:v>0.00951776649746194</c:v>
                </c:pt>
                <c:pt idx="10">
                  <c:v>0.00634517766497463</c:v>
                </c:pt>
                <c:pt idx="11">
                  <c:v>0.00412436548223351</c:v>
                </c:pt>
                <c:pt idx="12">
                  <c:v>0.00253807106598985</c:v>
                </c:pt>
                <c:pt idx="13">
                  <c:v>0.00158629441624366</c:v>
                </c:pt>
                <c:pt idx="14">
                  <c:v>0.00158629441624366</c:v>
                </c:pt>
                <c:pt idx="15">
                  <c:v>0.000634517766497463</c:v>
                </c:pt>
              </c:numCache>
            </c:numRef>
          </c:val>
        </c:ser>
        <c:dLbls>
          <c:showLegendKey val="0"/>
          <c:showVal val="1"/>
          <c:showCatName val="0"/>
          <c:showSerName val="0"/>
          <c:showPercent val="0"/>
          <c:showBubbleSize val="0"/>
        </c:dLbls>
        <c:gapWidth val="115"/>
        <c:overlap val="-20"/>
        <c:axId val="283507328"/>
        <c:axId val="283509120"/>
      </c:barChart>
      <c:catAx>
        <c:axId val="283507328"/>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509120"/>
        <c:crosses val="autoZero"/>
        <c:auto val="1"/>
        <c:lblAlgn val="ctr"/>
        <c:lblOffset val="100"/>
        <c:noMultiLvlLbl val="0"/>
      </c:catAx>
      <c:valAx>
        <c:axId val="283509120"/>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507328"/>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Sheet3!$E$456</c:f>
              <c:strCache>
                <c:ptCount val="1"/>
                <c:pt idx="0">
                  <c:v>升学人数</c:v>
                </c:pt>
              </c:strCache>
            </c:strRef>
          </c:tx>
          <c:spPr>
            <a:solidFill>
              <a:schemeClr val="accent1"/>
            </a:solidFill>
            <a:ln>
              <a:noFill/>
            </a:ln>
            <a:effectLst/>
          </c:spPr>
          <c:invertIfNegative val="0"/>
          <c:dPt>
            <c:idx val="0"/>
            <c:invertIfNegative val="0"/>
            <c:bubble3D val="0"/>
            <c:spPr>
              <a:blipFill>
                <a:blip xmlns:r="http://schemas.openxmlformats.org/officeDocument/2006/relationships" r:embed="rId3"/>
                <a:stretch>
                  <a:fillRect/>
                </a:stretch>
              </a:blipFill>
              <a:ln>
                <a:noFill/>
              </a:ln>
              <a:effectLst/>
            </c:spPr>
          </c:dPt>
          <c:dPt>
            <c:idx val="1"/>
            <c:invertIfNegative val="0"/>
            <c:bubble3D val="0"/>
            <c:spPr>
              <a:blipFill>
                <a:blip xmlns:r="http://schemas.openxmlformats.org/officeDocument/2006/relationships" r:embed="rId4"/>
                <a:stretch>
                  <a:fillRect/>
                </a:stretch>
              </a:blipFill>
              <a:ln>
                <a:noFill/>
              </a:ln>
              <a:effectLst/>
            </c:spPr>
          </c:dPt>
          <c:dPt>
            <c:idx val="2"/>
            <c:invertIfNegative val="0"/>
            <c:bubble3D val="0"/>
            <c:spPr>
              <a:blipFill>
                <a:blip xmlns:r="http://schemas.openxmlformats.org/officeDocument/2006/relationships" r:embed="rId5"/>
                <a:stretch>
                  <a:fillRect/>
                </a:stretch>
              </a:blipFill>
              <a:ln>
                <a:noFill/>
              </a:ln>
              <a:effectLst/>
            </c:spPr>
          </c:dPt>
          <c:dLbls>
            <c:delete val="1"/>
          </c:dLbls>
          <c:cat>
            <c:strRef>
              <c:f>Sheet3!$D$457:$D$459</c:f>
              <c:strCache>
                <c:ptCount val="3"/>
                <c:pt idx="0">
                  <c:v>男</c:v>
                </c:pt>
                <c:pt idx="1">
                  <c:v>女</c:v>
                </c:pt>
                <c:pt idx="2">
                  <c:v>总计</c:v>
                </c:pt>
              </c:strCache>
            </c:strRef>
          </c:cat>
          <c:val>
            <c:numRef>
              <c:f>Sheet3!$E$457:$E$459</c:f>
              <c:numCache>
                <c:formatCode>General</c:formatCode>
                <c:ptCount val="3"/>
                <c:pt idx="0">
                  <c:v>19</c:v>
                </c:pt>
                <c:pt idx="1">
                  <c:v>28</c:v>
                </c:pt>
                <c:pt idx="2">
                  <c:v>47</c:v>
                </c:pt>
              </c:numCache>
            </c:numRef>
          </c:val>
        </c:ser>
        <c:dLbls>
          <c:showLegendKey val="0"/>
          <c:showVal val="0"/>
          <c:showCatName val="0"/>
          <c:showSerName val="0"/>
          <c:showPercent val="0"/>
          <c:showBubbleSize val="0"/>
        </c:dLbls>
        <c:gapWidth val="150"/>
        <c:axId val="283865088"/>
        <c:axId val="283867008"/>
      </c:barChart>
      <c:lineChart>
        <c:grouping val="standard"/>
        <c:varyColors val="0"/>
        <c:ser>
          <c:idx val="1"/>
          <c:order val="1"/>
          <c:tx>
            <c:strRef>
              <c:f>Sheet3!$F$456</c:f>
              <c:strCache>
                <c:ptCount val="1"/>
                <c:pt idx="0">
                  <c:v>升序率</c:v>
                </c:pt>
              </c:strCache>
            </c:strRef>
          </c:tx>
          <c:spPr>
            <a:ln w="28575" cap="rnd" cmpd="sng" algn="ctr">
              <a:solidFill>
                <a:schemeClr val="accent2"/>
              </a:solidFill>
              <a:prstDash val="solid"/>
              <a:round/>
            </a:ln>
            <a:effectLst/>
          </c:spPr>
          <c:marker>
            <c:symbol val="picture"/>
            <c:spPr>
              <a:blipFill>
                <a:blip xmlns:r="http://schemas.openxmlformats.org/officeDocument/2006/relationships" r:embed="rId6"/>
                <a:stretch>
                  <a:fillRect/>
                </a:stretch>
              </a:blipFill>
              <a:ln w="25400" cap="flat" cmpd="sng" algn="ctr">
                <a:noFill/>
                <a:prstDash val="solid"/>
                <a:round/>
              </a:ln>
              <a:effectLst/>
            </c:spPr>
          </c:marker>
          <c:dLbls>
            <c:delete val="1"/>
          </c:dLbls>
          <c:cat>
            <c:strRef>
              <c:f>Sheet3!$D$457:$D$459</c:f>
              <c:strCache>
                <c:ptCount val="3"/>
                <c:pt idx="0">
                  <c:v>男</c:v>
                </c:pt>
                <c:pt idx="1">
                  <c:v>女</c:v>
                </c:pt>
                <c:pt idx="2">
                  <c:v>总计</c:v>
                </c:pt>
              </c:strCache>
            </c:strRef>
          </c:cat>
          <c:val>
            <c:numRef>
              <c:f>Sheet3!$F$457:$F$459</c:f>
              <c:numCache>
                <c:formatCode>0.00%</c:formatCode>
                <c:ptCount val="3"/>
                <c:pt idx="0">
                  <c:v>0.01578073089701</c:v>
                </c:pt>
                <c:pt idx="1">
                  <c:v>0.0129330254041571</c:v>
                </c:pt>
                <c:pt idx="2">
                  <c:v>0.0139507272187593</c:v>
                </c:pt>
              </c:numCache>
            </c:numRef>
          </c:val>
          <c:smooth val="0"/>
        </c:ser>
        <c:dLbls>
          <c:showLegendKey val="0"/>
          <c:showVal val="0"/>
          <c:showCatName val="0"/>
          <c:showSerName val="0"/>
          <c:showPercent val="0"/>
          <c:showBubbleSize val="0"/>
        </c:dLbls>
        <c:marker val="1"/>
        <c:smooth val="0"/>
        <c:axId val="283894912"/>
        <c:axId val="283868544"/>
      </c:lineChart>
      <c:catAx>
        <c:axId val="283865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867008"/>
        <c:crosses val="autoZero"/>
        <c:auto val="1"/>
        <c:lblAlgn val="ctr"/>
        <c:lblOffset val="100"/>
        <c:noMultiLvlLbl val="0"/>
      </c:catAx>
      <c:valAx>
        <c:axId val="283867008"/>
        <c:scaling>
          <c:orientation val="minMax"/>
        </c:scaling>
        <c:delete val="0"/>
        <c:axPos val="l"/>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865088"/>
        <c:crosses val="autoZero"/>
        <c:crossBetween val="between"/>
      </c:valAx>
      <c:catAx>
        <c:axId val="283894912"/>
        <c:scaling>
          <c:orientation val="minMax"/>
        </c:scaling>
        <c:delete val="1"/>
        <c:axPos val="b"/>
        <c:numFmt formatCode="General" sourceLinked="1"/>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3868544"/>
        <c:crosses val="autoZero"/>
        <c:auto val="1"/>
        <c:lblAlgn val="ctr"/>
        <c:lblOffset val="100"/>
        <c:noMultiLvlLbl val="0"/>
      </c:catAx>
      <c:valAx>
        <c:axId val="283868544"/>
        <c:scaling>
          <c:orientation val="minMax"/>
        </c:scaling>
        <c:delete val="0"/>
        <c:axPos val="r"/>
        <c:numFmt formatCode="0.00%" sourceLinked="1"/>
        <c:majorTickMark val="out"/>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894912"/>
        <c:crosses val="max"/>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blipFill>
              <a:blip xmlns:r="http://schemas.openxmlformats.org/officeDocument/2006/relationships" r:embed="rId3"/>
              <a:stretch>
                <a:fillRect/>
              </a:stretch>
            </a:blipFill>
            <a:ln>
              <a:noFill/>
            </a:ln>
            <a:effectLst/>
          </c:spPr>
          <c:invertIfNegative val="0"/>
          <c:pictureOptions>
            <c:pictureFormat val="stack"/>
          </c:pictureOptions>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Sheet3!$D$516:$D$526</c:f>
              <c:strCache>
                <c:ptCount val="11"/>
                <c:pt idx="0">
                  <c:v>湖北科技学院</c:v>
                </c:pt>
                <c:pt idx="1">
                  <c:v>武汉轻工大学</c:v>
                </c:pt>
                <c:pt idx="2">
                  <c:v>江汉大学</c:v>
                </c:pt>
                <c:pt idx="3">
                  <c:v>武汉晴川学院</c:v>
                </c:pt>
                <c:pt idx="4">
                  <c:v>长江大学</c:v>
                </c:pt>
                <c:pt idx="5">
                  <c:v>湖北医药学院</c:v>
                </c:pt>
                <c:pt idx="6">
                  <c:v>湖北中医院大学</c:v>
                </c:pt>
                <c:pt idx="7">
                  <c:v>湖北工程学院</c:v>
                </c:pt>
                <c:pt idx="8">
                  <c:v>湖北文理学院</c:v>
                </c:pt>
                <c:pt idx="9">
                  <c:v>武昌理工学院</c:v>
                </c:pt>
                <c:pt idx="10">
                  <c:v>武汉传媒学院</c:v>
                </c:pt>
              </c:strCache>
            </c:strRef>
          </c:cat>
          <c:val>
            <c:numRef>
              <c:f>Sheet3!$E$516:$E$526</c:f>
              <c:numCache>
                <c:formatCode>General</c:formatCode>
                <c:ptCount val="11"/>
                <c:pt idx="0">
                  <c:v>15</c:v>
                </c:pt>
                <c:pt idx="1">
                  <c:v>10</c:v>
                </c:pt>
                <c:pt idx="2">
                  <c:v>6</c:v>
                </c:pt>
                <c:pt idx="3">
                  <c:v>5</c:v>
                </c:pt>
                <c:pt idx="4">
                  <c:v>3</c:v>
                </c:pt>
                <c:pt idx="5">
                  <c:v>2</c:v>
                </c:pt>
                <c:pt idx="6">
                  <c:v>2</c:v>
                </c:pt>
                <c:pt idx="7">
                  <c:v>1</c:v>
                </c:pt>
                <c:pt idx="8">
                  <c:v>1</c:v>
                </c:pt>
                <c:pt idx="9">
                  <c:v>1</c:v>
                </c:pt>
                <c:pt idx="10">
                  <c:v>1</c:v>
                </c:pt>
              </c:numCache>
            </c:numRef>
          </c:val>
        </c:ser>
        <c:dLbls>
          <c:showLegendKey val="0"/>
          <c:showVal val="1"/>
          <c:showCatName val="0"/>
          <c:showSerName val="0"/>
          <c:showPercent val="0"/>
          <c:showBubbleSize val="0"/>
        </c:dLbls>
        <c:gapWidth val="0"/>
        <c:axId val="283797760"/>
        <c:axId val="283975680"/>
      </c:barChart>
      <c:catAx>
        <c:axId val="283797760"/>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975680"/>
        <c:crosses val="autoZero"/>
        <c:auto val="1"/>
        <c:lblAlgn val="ctr"/>
        <c:lblOffset val="100"/>
        <c:noMultiLvlLbl val="0"/>
      </c:catAx>
      <c:valAx>
        <c:axId val="283975680"/>
        <c:scaling>
          <c:orientation val="minMax"/>
        </c:scaling>
        <c:delete val="0"/>
        <c:axPos val="b"/>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797760"/>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3018153980752"/>
          <c:y val="0.0277777777777778"/>
          <c:w val="0.836426290463692"/>
          <c:h val="0.672308982210557"/>
        </c:manualLayout>
      </c:layout>
      <c:barChart>
        <c:barDir val="col"/>
        <c:grouping val="clustered"/>
        <c:varyColors val="0"/>
        <c:ser>
          <c:idx val="0"/>
          <c:order val="0"/>
          <c:tx>
            <c:strRef>
              <c:f>趋势对比!$L$2</c:f>
              <c:strCache>
                <c:ptCount val="1"/>
                <c:pt idx="0">
                  <c:v>男</c:v>
                </c:pt>
              </c:strCache>
            </c:strRef>
          </c:tx>
          <c:spPr>
            <a:solidFill>
              <a:schemeClr val="accent2"/>
            </a:solidFill>
            <a:ln>
              <a:noFill/>
            </a:ln>
            <a:effectLst/>
          </c:spPr>
          <c:invertIfNegative val="0"/>
          <c:dLbls>
            <c:delete val="1"/>
          </c:dLbls>
          <c:cat>
            <c:strRef>
              <c:f>趋势对比!$M$1:$O$1</c:f>
              <c:strCache>
                <c:ptCount val="3"/>
                <c:pt idx="0">
                  <c:v>2015届</c:v>
                </c:pt>
                <c:pt idx="1">
                  <c:v>2016届</c:v>
                </c:pt>
                <c:pt idx="2">
                  <c:v>2017届</c:v>
                </c:pt>
              </c:strCache>
            </c:strRef>
          </c:cat>
          <c:val>
            <c:numRef>
              <c:f>趋势对比!$M$2:$O$2</c:f>
              <c:numCache>
                <c:formatCode>General</c:formatCode>
                <c:ptCount val="3"/>
                <c:pt idx="0">
                  <c:v>757</c:v>
                </c:pt>
                <c:pt idx="1">
                  <c:v>973</c:v>
                </c:pt>
                <c:pt idx="2">
                  <c:v>1204</c:v>
                </c:pt>
              </c:numCache>
            </c:numRef>
          </c:val>
        </c:ser>
        <c:ser>
          <c:idx val="1"/>
          <c:order val="1"/>
          <c:tx>
            <c:strRef>
              <c:f>趋势对比!$L$3</c:f>
              <c:strCache>
                <c:ptCount val="1"/>
                <c:pt idx="0">
                  <c:v>女</c:v>
                </c:pt>
              </c:strCache>
            </c:strRef>
          </c:tx>
          <c:spPr>
            <a:solidFill>
              <a:schemeClr val="accent4"/>
            </a:solidFill>
            <a:ln>
              <a:noFill/>
            </a:ln>
            <a:effectLst/>
          </c:spPr>
          <c:invertIfNegative val="0"/>
          <c:dLbls>
            <c:delete val="1"/>
          </c:dLbls>
          <c:cat>
            <c:strRef>
              <c:f>趋势对比!$M$1:$O$1</c:f>
              <c:strCache>
                <c:ptCount val="3"/>
                <c:pt idx="0">
                  <c:v>2015届</c:v>
                </c:pt>
                <c:pt idx="1">
                  <c:v>2016届</c:v>
                </c:pt>
                <c:pt idx="2">
                  <c:v>2017届</c:v>
                </c:pt>
              </c:strCache>
            </c:strRef>
          </c:cat>
          <c:val>
            <c:numRef>
              <c:f>趋势对比!$M$3:$O$3</c:f>
              <c:numCache>
                <c:formatCode>General</c:formatCode>
                <c:ptCount val="3"/>
                <c:pt idx="0">
                  <c:v>1648</c:v>
                </c:pt>
                <c:pt idx="1">
                  <c:v>1855</c:v>
                </c:pt>
                <c:pt idx="2">
                  <c:v>2165</c:v>
                </c:pt>
              </c:numCache>
            </c:numRef>
          </c:val>
        </c:ser>
        <c:ser>
          <c:idx val="2"/>
          <c:order val="2"/>
          <c:tx>
            <c:strRef>
              <c:f>趋势对比!$L$4</c:f>
              <c:strCache>
                <c:ptCount val="1"/>
                <c:pt idx="0">
                  <c:v>总计</c:v>
                </c:pt>
              </c:strCache>
            </c:strRef>
          </c:tx>
          <c:spPr>
            <a:solidFill>
              <a:schemeClr val="accent6"/>
            </a:solidFill>
            <a:ln>
              <a:noFill/>
            </a:ln>
            <a:effectLst/>
          </c:spPr>
          <c:invertIfNegative val="0"/>
          <c:dLbls>
            <c:delete val="1"/>
          </c:dLbls>
          <c:cat>
            <c:strRef>
              <c:f>趋势对比!$M$1:$O$1</c:f>
              <c:strCache>
                <c:ptCount val="3"/>
                <c:pt idx="0">
                  <c:v>2015届</c:v>
                </c:pt>
                <c:pt idx="1">
                  <c:v>2016届</c:v>
                </c:pt>
                <c:pt idx="2">
                  <c:v>2017届</c:v>
                </c:pt>
              </c:strCache>
            </c:strRef>
          </c:cat>
          <c:val>
            <c:numRef>
              <c:f>趋势对比!$M$4:$O$4</c:f>
              <c:numCache>
                <c:formatCode>General</c:formatCode>
                <c:ptCount val="3"/>
                <c:pt idx="0">
                  <c:v>2405</c:v>
                </c:pt>
                <c:pt idx="1">
                  <c:v>2828</c:v>
                </c:pt>
                <c:pt idx="2">
                  <c:v>3369</c:v>
                </c:pt>
              </c:numCache>
            </c:numRef>
          </c:val>
        </c:ser>
        <c:dLbls>
          <c:showLegendKey val="0"/>
          <c:showVal val="0"/>
          <c:showCatName val="0"/>
          <c:showSerName val="0"/>
          <c:showPercent val="0"/>
          <c:showBubbleSize val="0"/>
        </c:dLbls>
        <c:gapWidth val="219"/>
        <c:overlap val="-27"/>
        <c:axId val="284026368"/>
        <c:axId val="284027904"/>
      </c:barChart>
      <c:catAx>
        <c:axId val="284026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4027904"/>
        <c:crosses val="autoZero"/>
        <c:auto val="1"/>
        <c:lblAlgn val="ctr"/>
        <c:lblOffset val="100"/>
        <c:noMultiLvlLbl val="0"/>
      </c:catAx>
      <c:valAx>
        <c:axId val="284027904"/>
        <c:scaling>
          <c:orientation val="minMax"/>
        </c:scaling>
        <c:delete val="0"/>
        <c:axPos val="l"/>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402636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修改调整作图!$D$309</c:f>
              <c:strCache>
                <c:ptCount val="1"/>
                <c:pt idx="0">
                  <c:v>男</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elete val="1"/>
          </c:dLbls>
          <c:cat>
            <c:strRef>
              <c:f>修改调整作图!$E$308:$G$308</c:f>
              <c:strCache>
                <c:ptCount val="3"/>
                <c:pt idx="0">
                  <c:v>2015届</c:v>
                </c:pt>
                <c:pt idx="1">
                  <c:v>2016届</c:v>
                </c:pt>
                <c:pt idx="2">
                  <c:v>2017届</c:v>
                </c:pt>
              </c:strCache>
            </c:strRef>
          </c:cat>
          <c:val>
            <c:numRef>
              <c:f>修改调整作图!$E$309:$G$309</c:f>
              <c:numCache>
                <c:formatCode>0.00%</c:formatCode>
                <c:ptCount val="3"/>
                <c:pt idx="0">
                  <c:v>0.919418758256275</c:v>
                </c:pt>
                <c:pt idx="1">
                  <c:v>0.918807810894142</c:v>
                </c:pt>
                <c:pt idx="2">
                  <c:v>0.955980066445183</c:v>
                </c:pt>
              </c:numCache>
            </c:numRef>
          </c:val>
          <c:smooth val="0"/>
        </c:ser>
        <c:ser>
          <c:idx val="1"/>
          <c:order val="1"/>
          <c:tx>
            <c:strRef>
              <c:f>修改调整作图!$D$310</c:f>
              <c:strCache>
                <c:ptCount val="1"/>
                <c:pt idx="0">
                  <c:v>女</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cat>
            <c:strRef>
              <c:f>修改调整作图!$E$308:$G$308</c:f>
              <c:strCache>
                <c:ptCount val="3"/>
                <c:pt idx="0">
                  <c:v>2015届</c:v>
                </c:pt>
                <c:pt idx="1">
                  <c:v>2016届</c:v>
                </c:pt>
                <c:pt idx="2">
                  <c:v>2017届</c:v>
                </c:pt>
              </c:strCache>
            </c:strRef>
          </c:cat>
          <c:val>
            <c:numRef>
              <c:f>修改调整作图!$E$310:$G$310</c:f>
              <c:numCache>
                <c:formatCode>0.00%</c:formatCode>
                <c:ptCount val="3"/>
                <c:pt idx="0">
                  <c:v>0.944781553398059</c:v>
                </c:pt>
                <c:pt idx="1">
                  <c:v>0.938544474393532</c:v>
                </c:pt>
                <c:pt idx="2">
                  <c:v>0.953810623556583</c:v>
                </c:pt>
              </c:numCache>
            </c:numRef>
          </c:val>
          <c:smooth val="0"/>
        </c:ser>
        <c:ser>
          <c:idx val="2"/>
          <c:order val="2"/>
          <c:tx>
            <c:strRef>
              <c:f>修改调整作图!$D$311</c:f>
              <c:strCache>
                <c:ptCount val="1"/>
                <c:pt idx="0">
                  <c:v>总计</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dLbls>
            <c:delete val="1"/>
          </c:dLbls>
          <c:cat>
            <c:strRef>
              <c:f>修改调整作图!$E$308:$G$308</c:f>
              <c:strCache>
                <c:ptCount val="3"/>
                <c:pt idx="0">
                  <c:v>2015届</c:v>
                </c:pt>
                <c:pt idx="1">
                  <c:v>2016届</c:v>
                </c:pt>
                <c:pt idx="2">
                  <c:v>2017届</c:v>
                </c:pt>
              </c:strCache>
            </c:strRef>
          </c:cat>
          <c:val>
            <c:numRef>
              <c:f>修改调整作图!$E$311:$G$311</c:f>
              <c:numCache>
                <c:formatCode>0.00%</c:formatCode>
                <c:ptCount val="3"/>
                <c:pt idx="0">
                  <c:v>0.936798336798337</c:v>
                </c:pt>
                <c:pt idx="1">
                  <c:v>0.931753889674682</c:v>
                </c:pt>
                <c:pt idx="2">
                  <c:v>0.954585930543189</c:v>
                </c:pt>
              </c:numCache>
            </c:numRef>
          </c:val>
          <c:smooth val="0"/>
        </c:ser>
        <c:dLbls>
          <c:showLegendKey val="0"/>
          <c:showVal val="0"/>
          <c:showCatName val="0"/>
          <c:showSerName val="0"/>
          <c:showPercent val="0"/>
          <c:showBubbleSize val="0"/>
        </c:dLbls>
        <c:marker val="1"/>
        <c:smooth val="0"/>
        <c:axId val="286201728"/>
        <c:axId val="286212096"/>
      </c:lineChart>
      <c:catAx>
        <c:axId val="28620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212096"/>
        <c:crosses val="autoZero"/>
        <c:auto val="1"/>
        <c:lblAlgn val="ctr"/>
        <c:lblOffset val="100"/>
        <c:noMultiLvlLbl val="0"/>
      </c:catAx>
      <c:valAx>
        <c:axId val="286212096"/>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20172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Pt>
            <c:idx val="3"/>
            <c:invertIfNegative val="0"/>
            <c:bubble3D val="0"/>
            <c:spPr>
              <a:solidFill>
                <a:schemeClr val="accent2"/>
              </a:solidFill>
              <a:ln>
                <a:noFill/>
              </a:ln>
              <a:effectLst/>
            </c:spPr>
          </c:dPt>
          <c:dPt>
            <c:idx val="4"/>
            <c:invertIfNegative val="0"/>
            <c:bubble3D val="0"/>
            <c:spPr>
              <a:solidFill>
                <a:schemeClr val="accent2"/>
              </a:solidFill>
              <a:ln>
                <a:noFill/>
              </a:ln>
              <a:effectLst/>
            </c:spPr>
          </c:dPt>
          <c:dPt>
            <c:idx val="5"/>
            <c:invertIfNegative val="0"/>
            <c:bubble3D val="0"/>
            <c:spPr>
              <a:solidFill>
                <a:schemeClr val="accent2"/>
              </a:solidFill>
              <a:ln>
                <a:noFill/>
              </a:ln>
              <a:effectLst/>
            </c:spPr>
          </c:dPt>
          <c:dPt>
            <c:idx val="6"/>
            <c:invertIfNegative val="0"/>
            <c:bubble3D val="0"/>
            <c:spPr>
              <a:solidFill>
                <a:srgbClr val="92D050"/>
              </a:solidFill>
              <a:ln>
                <a:noFill/>
              </a:ln>
              <a:effectLst/>
            </c:spPr>
          </c:dPt>
          <c:dPt>
            <c:idx val="7"/>
            <c:invertIfNegative val="0"/>
            <c:bubble3D val="0"/>
            <c:spPr>
              <a:solidFill>
                <a:srgbClr val="92D050"/>
              </a:solidFill>
              <a:ln>
                <a:noFill/>
              </a:ln>
              <a:effectLst/>
            </c:spPr>
          </c:dPt>
          <c:dPt>
            <c:idx val="8"/>
            <c:invertIfNegative val="0"/>
            <c:bubble3D val="0"/>
            <c:spPr>
              <a:solidFill>
                <a:srgbClr val="92D050"/>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multiLvlStrRef>
              <c:f>修改调整作图!$D$437:$E$445</c:f>
              <c:multiLvlStrCache>
                <c:ptCount val="9"/>
                <c:lvl>
                  <c:pt idx="0">
                    <c:v>湖北省</c:v>
                  </c:pt>
                  <c:pt idx="1">
                    <c:v>广东省</c:v>
                  </c:pt>
                  <c:pt idx="2">
                    <c:v>浙江省</c:v>
                  </c:pt>
                  <c:pt idx="3">
                    <c:v>湖北省</c:v>
                  </c:pt>
                  <c:pt idx="4">
                    <c:v>广东省</c:v>
                  </c:pt>
                  <c:pt idx="5">
                    <c:v>浙江省</c:v>
                  </c:pt>
                  <c:pt idx="6">
                    <c:v>湖北省</c:v>
                  </c:pt>
                  <c:pt idx="7">
                    <c:v>浙江省</c:v>
                  </c:pt>
                  <c:pt idx="8">
                    <c:v>广东省</c:v>
                  </c:pt>
                </c:lvl>
                <c:lvl>
                  <c:pt idx="0">
                    <c:v>2015届</c:v>
                  </c:pt>
                  <c:pt idx="3">
                    <c:v>2016届</c:v>
                  </c:pt>
                  <c:pt idx="6">
                    <c:v>2017届</c:v>
                  </c:pt>
                </c:lvl>
              </c:multiLvlStrCache>
            </c:multiLvlStrRef>
          </c:cat>
          <c:val>
            <c:numRef>
              <c:f>修改调整作图!$F$437:$F$445</c:f>
              <c:numCache>
                <c:formatCode>0.00%</c:formatCode>
                <c:ptCount val="9"/>
                <c:pt idx="0">
                  <c:v>0.644900000000001</c:v>
                </c:pt>
                <c:pt idx="1">
                  <c:v>0.0937000000000001</c:v>
                </c:pt>
                <c:pt idx="2">
                  <c:v>0.0759</c:v>
                </c:pt>
                <c:pt idx="3">
                  <c:v>0.7184</c:v>
                </c:pt>
                <c:pt idx="4">
                  <c:v>0.0683</c:v>
                </c:pt>
                <c:pt idx="5">
                  <c:v>0.0581</c:v>
                </c:pt>
                <c:pt idx="6">
                  <c:v>0.673101265822785</c:v>
                </c:pt>
                <c:pt idx="7">
                  <c:v>0.0658227848101267</c:v>
                </c:pt>
                <c:pt idx="8">
                  <c:v>0.0563291139240506</c:v>
                </c:pt>
              </c:numCache>
            </c:numRef>
          </c:val>
        </c:ser>
        <c:dLbls>
          <c:showLegendKey val="0"/>
          <c:showVal val="1"/>
          <c:showCatName val="0"/>
          <c:showSerName val="0"/>
          <c:showPercent val="0"/>
          <c:showBubbleSize val="0"/>
        </c:dLbls>
        <c:gapWidth val="219"/>
        <c:overlap val="-27"/>
        <c:axId val="286238592"/>
        <c:axId val="286240128"/>
      </c:barChart>
      <c:catAx>
        <c:axId val="286238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240128"/>
        <c:crosses val="autoZero"/>
        <c:auto val="1"/>
        <c:lblAlgn val="ctr"/>
        <c:lblOffset val="100"/>
        <c:noMultiLvlLbl val="0"/>
      </c:catAx>
      <c:valAx>
        <c:axId val="286240128"/>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2385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Sheet2!$E$30</c:f>
              <c:strCache>
                <c:ptCount val="1"/>
                <c:pt idx="0">
                  <c:v>男</c:v>
                </c:pt>
              </c:strCache>
            </c:strRef>
          </c:tx>
          <c:invertIfNegative val="0"/>
          <c:dLbls>
            <c:delete val="1"/>
          </c:dLbls>
          <c:cat>
            <c:strRef>
              <c:f>Sheet2!$D$31:$D$35</c:f>
              <c:strCache>
                <c:ptCount val="5"/>
                <c:pt idx="0">
                  <c:v>非常满意</c:v>
                </c:pt>
                <c:pt idx="1">
                  <c:v>满意</c:v>
                </c:pt>
                <c:pt idx="2">
                  <c:v>比较满意</c:v>
                </c:pt>
                <c:pt idx="3">
                  <c:v>不太满意</c:v>
                </c:pt>
                <c:pt idx="4">
                  <c:v>很不满意</c:v>
                </c:pt>
              </c:strCache>
            </c:strRef>
          </c:cat>
          <c:val>
            <c:numRef>
              <c:f>Sheet2!$E$31:$E$35</c:f>
              <c:numCache>
                <c:formatCode>0.00%</c:formatCode>
                <c:ptCount val="5"/>
                <c:pt idx="0">
                  <c:v>0.175054704595186</c:v>
                </c:pt>
                <c:pt idx="1">
                  <c:v>0.590809628008753</c:v>
                </c:pt>
                <c:pt idx="2">
                  <c:v>0.223194748358862</c:v>
                </c:pt>
                <c:pt idx="3">
                  <c:v>0.00765864332603939</c:v>
                </c:pt>
                <c:pt idx="4">
                  <c:v>0.00328227571115974</c:v>
                </c:pt>
              </c:numCache>
            </c:numRef>
          </c:val>
        </c:ser>
        <c:ser>
          <c:idx val="1"/>
          <c:order val="1"/>
          <c:tx>
            <c:strRef>
              <c:f>Sheet2!$F$30</c:f>
              <c:strCache>
                <c:ptCount val="1"/>
                <c:pt idx="0">
                  <c:v>女</c:v>
                </c:pt>
              </c:strCache>
            </c:strRef>
          </c:tx>
          <c:invertIfNegative val="0"/>
          <c:dLbls>
            <c:delete val="1"/>
          </c:dLbls>
          <c:cat>
            <c:strRef>
              <c:f>Sheet2!$D$31:$D$35</c:f>
              <c:strCache>
                <c:ptCount val="5"/>
                <c:pt idx="0">
                  <c:v>非常满意</c:v>
                </c:pt>
                <c:pt idx="1">
                  <c:v>满意</c:v>
                </c:pt>
                <c:pt idx="2">
                  <c:v>比较满意</c:v>
                </c:pt>
                <c:pt idx="3">
                  <c:v>不太满意</c:v>
                </c:pt>
                <c:pt idx="4">
                  <c:v>很不满意</c:v>
                </c:pt>
              </c:strCache>
            </c:strRef>
          </c:cat>
          <c:val>
            <c:numRef>
              <c:f>Sheet2!$F$31:$F$35</c:f>
              <c:numCache>
                <c:formatCode>0.00%</c:formatCode>
                <c:ptCount val="5"/>
                <c:pt idx="0">
                  <c:v>0.174318030605456</c:v>
                </c:pt>
                <c:pt idx="1">
                  <c:v>0.412508316699934</c:v>
                </c:pt>
                <c:pt idx="2">
                  <c:v>0.387890884896873</c:v>
                </c:pt>
                <c:pt idx="3">
                  <c:v>0.0199600798403194</c:v>
                </c:pt>
                <c:pt idx="4">
                  <c:v>0.00532268795741849</c:v>
                </c:pt>
              </c:numCache>
            </c:numRef>
          </c:val>
        </c:ser>
        <c:ser>
          <c:idx val="2"/>
          <c:order val="2"/>
          <c:tx>
            <c:strRef>
              <c:f>Sheet2!$G$30</c:f>
              <c:strCache>
                <c:ptCount val="1"/>
                <c:pt idx="0">
                  <c:v>总体</c:v>
                </c:pt>
              </c:strCache>
            </c:strRef>
          </c:tx>
          <c:invertIfNegative val="0"/>
          <c:dLbls>
            <c:delete val="1"/>
          </c:dLbls>
          <c:cat>
            <c:strRef>
              <c:f>Sheet2!$D$31:$D$35</c:f>
              <c:strCache>
                <c:ptCount val="5"/>
                <c:pt idx="0">
                  <c:v>非常满意</c:v>
                </c:pt>
                <c:pt idx="1">
                  <c:v>满意</c:v>
                </c:pt>
                <c:pt idx="2">
                  <c:v>比较满意</c:v>
                </c:pt>
                <c:pt idx="3">
                  <c:v>不太满意</c:v>
                </c:pt>
                <c:pt idx="4">
                  <c:v>很不满意</c:v>
                </c:pt>
              </c:strCache>
            </c:strRef>
          </c:cat>
          <c:val>
            <c:numRef>
              <c:f>Sheet2!$G$31:$G$35</c:f>
              <c:numCache>
                <c:formatCode>0.00%</c:formatCode>
                <c:ptCount val="5"/>
                <c:pt idx="0">
                  <c:v>0.174596607364501</c:v>
                </c:pt>
                <c:pt idx="1">
                  <c:v>0.479933802234175</c:v>
                </c:pt>
                <c:pt idx="2">
                  <c:v>0.325610260653703</c:v>
                </c:pt>
                <c:pt idx="3">
                  <c:v>0.0153082333471245</c:v>
                </c:pt>
                <c:pt idx="4">
                  <c:v>0.00455109640049648</c:v>
                </c:pt>
              </c:numCache>
            </c:numRef>
          </c:val>
        </c:ser>
        <c:dLbls>
          <c:showLegendKey val="0"/>
          <c:showVal val="0"/>
          <c:showCatName val="0"/>
          <c:showSerName val="0"/>
          <c:showPercent val="0"/>
          <c:showBubbleSize val="0"/>
        </c:dLbls>
        <c:gapWidth val="150"/>
        <c:axId val="286262400"/>
        <c:axId val="286263936"/>
      </c:barChart>
      <c:catAx>
        <c:axId val="286262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263936"/>
        <c:crosses val="autoZero"/>
        <c:auto val="1"/>
        <c:lblAlgn val="ctr"/>
        <c:lblOffset val="100"/>
        <c:noMultiLvlLbl val="0"/>
      </c:catAx>
      <c:valAx>
        <c:axId val="2862639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26240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53646981627297"/>
          <c:y val="0.0509259259259259"/>
          <c:w val="0.47603937007874"/>
          <c:h val="0.793398950131234"/>
        </c:manualLayout>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noFill/>
              <a:ln w="19050">
                <a:solidFill>
                  <a:schemeClr val="lt1"/>
                </a:solidFill>
              </a:ln>
              <a:effectLst/>
            </c:spPr>
          </c:dPt>
          <c:dLbls>
            <c:dLbl>
              <c:idx val="6"/>
              <c:delete val="1"/>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分析!$B$315:$B$321</c:f>
              <c:strCache>
                <c:ptCount val="7"/>
                <c:pt idx="0">
                  <c:v>自己直接联系应聘（参加社会公考、直接联系单位）</c:v>
                </c:pt>
                <c:pt idx="1">
                  <c:v>校园招聘会、母校就业网站、老师或校友推荐</c:v>
                </c:pt>
                <c:pt idx="2">
                  <c:v>亲友推荐</c:v>
                </c:pt>
                <c:pt idx="3">
                  <c:v>社会中介推荐（人才市场、社会网站）</c:v>
                </c:pt>
                <c:pt idx="4">
                  <c:v>政府人才招聘会</c:v>
                </c:pt>
                <c:pt idx="5">
                  <c:v>其他</c:v>
                </c:pt>
                <c:pt idx="6">
                  <c:v>总体</c:v>
                </c:pt>
              </c:strCache>
            </c:strRef>
          </c:cat>
          <c:val>
            <c:numRef>
              <c:f>分析!$D$315:$D$321</c:f>
              <c:numCache>
                <c:formatCode>0.00%</c:formatCode>
                <c:ptCount val="7"/>
                <c:pt idx="0">
                  <c:v>0.396286231884059</c:v>
                </c:pt>
                <c:pt idx="1">
                  <c:v>0.367753623188406</c:v>
                </c:pt>
                <c:pt idx="2">
                  <c:v>0.126811594202899</c:v>
                </c:pt>
                <c:pt idx="3">
                  <c:v>0.0452898550724637</c:v>
                </c:pt>
                <c:pt idx="4">
                  <c:v>0.0357789855072464</c:v>
                </c:pt>
                <c:pt idx="5">
                  <c:v>0.0280797101449276</c:v>
                </c:pt>
                <c:pt idx="6">
                  <c:v>1</c:v>
                </c:pt>
              </c:numCache>
            </c:numRef>
          </c:val>
        </c:ser>
        <c:dLbls>
          <c:showLegendKey val="0"/>
          <c:showVal val="1"/>
          <c:showCatName val="0"/>
          <c:showSerName val="0"/>
          <c:showPercent val="0"/>
          <c:showBubbleSize val="0"/>
          <c:showLeaderLines val="1"/>
        </c:dLbls>
        <c:firstSliceAng val="270"/>
      </c:pieChart>
      <c:spPr>
        <a:noFill/>
        <a:ln>
          <a:noFill/>
        </a:ln>
        <a:effectLst/>
      </c:spPr>
    </c:plotArea>
    <c:legend>
      <c:legendPos val="b"/>
      <c:legendEntry>
        <c:idx val="6"/>
        <c:delete val="1"/>
      </c:legendEntry>
      <c:layout>
        <c:manualLayout>
          <c:xMode val="edge"/>
          <c:yMode val="edge"/>
          <c:x val="0.0932130358705162"/>
          <c:y val="0.515621172353456"/>
          <c:w val="0.880240376202975"/>
          <c:h val="0.456601049868766"/>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分析!$C$333:$C$341</c:f>
              <c:strCache>
                <c:ptCount val="9"/>
                <c:pt idx="0">
                  <c:v>实践/工作经验</c:v>
                </c:pt>
                <c:pt idx="1">
                  <c:v>专业技能</c:v>
                </c:pt>
                <c:pt idx="2">
                  <c:v>学历</c:v>
                </c:pt>
                <c:pt idx="3">
                  <c:v>职业资格证书</c:v>
                </c:pt>
                <c:pt idx="4">
                  <c:v>专业背景或课程成绩</c:v>
                </c:pt>
                <c:pt idx="5">
                  <c:v>个人素质</c:v>
                </c:pt>
                <c:pt idx="6">
                  <c:v>母校声誉</c:v>
                </c:pt>
                <c:pt idx="7">
                  <c:v>社会关系</c:v>
                </c:pt>
                <c:pt idx="8">
                  <c:v>其他</c:v>
                </c:pt>
              </c:strCache>
            </c:strRef>
          </c:cat>
          <c:val>
            <c:numRef>
              <c:f>分析!$E$333:$E$341</c:f>
              <c:numCache>
                <c:formatCode>0.00%</c:formatCode>
                <c:ptCount val="9"/>
                <c:pt idx="0">
                  <c:v>0.187417840375587</c:v>
                </c:pt>
                <c:pt idx="1">
                  <c:v>0.170892018779343</c:v>
                </c:pt>
                <c:pt idx="2">
                  <c:v>0.169953051643192</c:v>
                </c:pt>
                <c:pt idx="3">
                  <c:v>0.146291079812207</c:v>
                </c:pt>
                <c:pt idx="4">
                  <c:v>0.11868544600939</c:v>
                </c:pt>
                <c:pt idx="5">
                  <c:v>0.0880751173708921</c:v>
                </c:pt>
                <c:pt idx="6">
                  <c:v>0.0610328638497653</c:v>
                </c:pt>
                <c:pt idx="7">
                  <c:v>0.0405633802816902</c:v>
                </c:pt>
                <c:pt idx="8">
                  <c:v>0.0170892018779343</c:v>
                </c:pt>
              </c:numCache>
            </c:numRef>
          </c:val>
        </c:ser>
        <c:dLbls>
          <c:showLegendKey val="0"/>
          <c:showVal val="1"/>
          <c:showCatName val="0"/>
          <c:showSerName val="0"/>
          <c:showPercent val="0"/>
          <c:showBubbleSize val="0"/>
        </c:dLbls>
        <c:gapWidth val="115"/>
        <c:overlap val="-20"/>
        <c:axId val="286380800"/>
        <c:axId val="286382336"/>
      </c:barChart>
      <c:catAx>
        <c:axId val="286380800"/>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382336"/>
        <c:crosses val="autoZero"/>
        <c:auto val="1"/>
        <c:lblAlgn val="ctr"/>
        <c:lblOffset val="100"/>
        <c:noMultiLvlLbl val="0"/>
      </c:catAx>
      <c:valAx>
        <c:axId val="286382336"/>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380800"/>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cked"/>
        <c:varyColors val="0"/>
        <c:ser>
          <c:idx val="0"/>
          <c:order val="0"/>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Sheet2!$H$27:$H$33</c:f>
              <c:strCache>
                <c:ptCount val="7"/>
                <c:pt idx="0">
                  <c:v>2000元以下</c:v>
                </c:pt>
                <c:pt idx="1">
                  <c:v>2001-3000元</c:v>
                </c:pt>
                <c:pt idx="2">
                  <c:v>3001-4000元</c:v>
                </c:pt>
                <c:pt idx="3">
                  <c:v>4001-5000元</c:v>
                </c:pt>
                <c:pt idx="4">
                  <c:v>5001-6000元</c:v>
                </c:pt>
                <c:pt idx="5">
                  <c:v>6001-8000元</c:v>
                </c:pt>
                <c:pt idx="6">
                  <c:v>8000元以上</c:v>
                </c:pt>
              </c:strCache>
            </c:strRef>
          </c:cat>
          <c:val>
            <c:numRef>
              <c:f>Sheet2!$J$27:$J$33</c:f>
              <c:numCache>
                <c:formatCode>0.00%</c:formatCode>
                <c:ptCount val="7"/>
                <c:pt idx="0">
                  <c:v>0.114583333333333</c:v>
                </c:pt>
                <c:pt idx="1">
                  <c:v>0.386775362318841</c:v>
                </c:pt>
                <c:pt idx="2">
                  <c:v>0.328804347826087</c:v>
                </c:pt>
                <c:pt idx="3">
                  <c:v>0.139039855072464</c:v>
                </c:pt>
                <c:pt idx="4">
                  <c:v>0.0176630434782609</c:v>
                </c:pt>
                <c:pt idx="5">
                  <c:v>0.0104166666666667</c:v>
                </c:pt>
                <c:pt idx="6">
                  <c:v>0.00271739130434783</c:v>
                </c:pt>
              </c:numCache>
            </c:numRef>
          </c:val>
          <c:smooth val="0"/>
        </c:ser>
        <c:dLbls>
          <c:showLegendKey val="0"/>
          <c:showVal val="1"/>
          <c:showCatName val="0"/>
          <c:showSerName val="0"/>
          <c:showPercent val="0"/>
          <c:showBubbleSize val="0"/>
        </c:dLbls>
        <c:marker val="1"/>
        <c:smooth val="0"/>
        <c:axId val="286410624"/>
        <c:axId val="286412160"/>
      </c:lineChart>
      <c:catAx>
        <c:axId val="286410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412160"/>
        <c:crosses val="autoZero"/>
        <c:auto val="1"/>
        <c:lblAlgn val="ctr"/>
        <c:lblOffset val="100"/>
        <c:noMultiLvlLbl val="0"/>
      </c:catAx>
      <c:valAx>
        <c:axId val="286412160"/>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410624"/>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0625"/>
          <c:y val="0.043470814082124"/>
          <c:w val="0.9375"/>
          <c:h val="0.907438016528926"/>
        </c:manualLayout>
      </c:layout>
      <c:doughnutChart>
        <c:varyColors val="1"/>
        <c:ser>
          <c:idx val="0"/>
          <c:order val="0"/>
          <c:explosion val="6"/>
          <c:dPt>
            <c:idx val="0"/>
            <c:bubble3D val="0"/>
            <c:spPr>
              <a:solidFill>
                <a:srgbClr val="00B0F0"/>
              </a:solidFill>
              <a:ln w="19050">
                <a:solidFill>
                  <a:schemeClr val="lt1"/>
                </a:solidFill>
              </a:ln>
              <a:effectLst>
                <a:innerShdw blurRad="114300">
                  <a:schemeClr val="accent1"/>
                </a:innerShdw>
              </a:effectLst>
            </c:spPr>
          </c:dPt>
          <c:dPt>
            <c:idx val="1"/>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dPt>
          <c:dLbls>
            <c:delete val="1"/>
          </c:dLbls>
          <c:val>
            <c:numRef>
              <c:f>'2017届数据'!$H$6:$I$6</c:f>
              <c:numCache>
                <c:formatCode>0.00%</c:formatCode>
                <c:ptCount val="2"/>
                <c:pt idx="0">
                  <c:v>0.642623924013061</c:v>
                </c:pt>
                <c:pt idx="1">
                  <c:v>1</c:v>
                </c:pt>
              </c:numCache>
            </c:numRef>
          </c:val>
        </c:ser>
        <c:dLbls>
          <c:showLegendKey val="0"/>
          <c:showVal val="0"/>
          <c:showCatName val="0"/>
          <c:showSerName val="0"/>
          <c:showPercent val="0"/>
          <c:showBubbleSize val="0"/>
          <c:showLeaderLines val="1"/>
        </c:dLbls>
        <c:firstSliceAng val="25"/>
        <c:holeSize val="76"/>
      </c:doughnutChart>
      <c:spPr>
        <a:noFill/>
        <a:ln>
          <a:noFill/>
        </a:ln>
        <a:effectLst/>
      </c:spPr>
    </c:plotArea>
    <c:plotVisOnly val="1"/>
    <c:dispBlanksAs val="zero"/>
    <c:showDLblsOverMax val="0"/>
  </c:chart>
  <c:spPr>
    <a:solidFill>
      <a:schemeClr val="bg1"/>
    </a:solidFill>
    <a:ln w="15875" cap="flat" cmpd="sng" algn="ctr">
      <a:solidFill>
        <a:srgbClr val="00B0F0"/>
      </a:solidFill>
      <a:prstDash val="sysDot"/>
      <a:round/>
    </a:ln>
    <a:effectLst/>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2222222222222"/>
          <c:y val="0.0254283318751823"/>
          <c:w val="0.649016185476815"/>
          <c:h val="0.751359361329834"/>
        </c:manualLayout>
      </c:layout>
      <c:barChart>
        <c:barDir val="col"/>
        <c:grouping val="clustered"/>
        <c:varyColors val="0"/>
        <c:ser>
          <c:idx val="0"/>
          <c:order val="0"/>
          <c:tx>
            <c:strRef>
              <c:f>分析!$B$44</c:f>
              <c:strCache>
                <c:ptCount val="1"/>
                <c:pt idx="0">
                  <c:v>平均工资</c:v>
                </c:pt>
              </c:strCache>
            </c:strRef>
          </c:tx>
          <c:spPr>
            <a:solidFill>
              <a:schemeClr val="accent1"/>
            </a:solidFill>
            <a:ln>
              <a:noFill/>
            </a:ln>
            <a:effectLst/>
          </c:spPr>
          <c:invertIfNegative val="0"/>
          <c:dPt>
            <c:idx val="0"/>
            <c:invertIfNegative val="0"/>
            <c:bubble3D val="0"/>
            <c:spPr>
              <a:blipFill>
                <a:blip xmlns:r="http://schemas.openxmlformats.org/officeDocument/2006/relationships" r:embed="rId3"/>
                <a:stretch>
                  <a:fillRect/>
                </a:stretch>
              </a:blipFill>
              <a:ln>
                <a:noFill/>
              </a:ln>
              <a:effectLst/>
            </c:spPr>
          </c:dPt>
          <c:dPt>
            <c:idx val="1"/>
            <c:invertIfNegative val="0"/>
            <c:bubble3D val="0"/>
            <c:spPr>
              <a:blipFill>
                <a:blip xmlns:r="http://schemas.openxmlformats.org/officeDocument/2006/relationships" r:embed="rId3"/>
                <a:stretch>
                  <a:fillRect/>
                </a:stretch>
              </a:blipFill>
              <a:ln>
                <a:noFill/>
              </a:ln>
              <a:effectLst/>
            </c:spPr>
          </c:dPt>
          <c:dPt>
            <c:idx val="2"/>
            <c:invertIfNegative val="0"/>
            <c:bubble3D val="0"/>
            <c:spPr>
              <a:blipFill>
                <a:blip xmlns:r="http://schemas.openxmlformats.org/officeDocument/2006/relationships" r:embed="rId3"/>
                <a:stretch>
                  <a:fillRect/>
                </a:stretch>
              </a:blipFill>
              <a:ln>
                <a:noFill/>
              </a:ln>
              <a:effectLst/>
            </c:spPr>
          </c:dPt>
          <c:dLbls>
            <c:delete val="1"/>
          </c:dLbls>
          <c:cat>
            <c:strRef>
              <c:f>分析!$C$43:$E$43</c:f>
              <c:strCache>
                <c:ptCount val="3"/>
                <c:pt idx="0">
                  <c:v>男</c:v>
                </c:pt>
                <c:pt idx="1">
                  <c:v>女</c:v>
                </c:pt>
                <c:pt idx="2">
                  <c:v>总体</c:v>
                </c:pt>
              </c:strCache>
            </c:strRef>
          </c:cat>
          <c:val>
            <c:numRef>
              <c:f>分析!$C$44:$E$44</c:f>
              <c:numCache>
                <c:formatCode>0</c:formatCode>
                <c:ptCount val="3"/>
                <c:pt idx="0">
                  <c:v>3462.19611307421</c:v>
                </c:pt>
                <c:pt idx="1">
                  <c:v>2797.3289183223</c:v>
                </c:pt>
                <c:pt idx="2">
                  <c:v>3052.97758152174</c:v>
                </c:pt>
              </c:numCache>
            </c:numRef>
          </c:val>
        </c:ser>
        <c:dLbls>
          <c:showLegendKey val="0"/>
          <c:showVal val="0"/>
          <c:showCatName val="0"/>
          <c:showSerName val="0"/>
          <c:showPercent val="0"/>
          <c:showBubbleSize val="0"/>
        </c:dLbls>
        <c:gapWidth val="269"/>
        <c:axId val="286452736"/>
        <c:axId val="286536832"/>
      </c:barChart>
      <c:lineChart>
        <c:grouping val="standard"/>
        <c:varyColors val="0"/>
        <c:ser>
          <c:idx val="1"/>
          <c:order val="1"/>
          <c:tx>
            <c:strRef>
              <c:f>分析!$B$45</c:f>
              <c:strCache>
                <c:ptCount val="1"/>
                <c:pt idx="0">
                  <c:v>满意度</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cat>
            <c:strRef>
              <c:f>分析!$C$43:$E$43</c:f>
              <c:strCache>
                <c:ptCount val="3"/>
                <c:pt idx="0">
                  <c:v>男</c:v>
                </c:pt>
                <c:pt idx="1">
                  <c:v>女</c:v>
                </c:pt>
                <c:pt idx="2">
                  <c:v>总体</c:v>
                </c:pt>
              </c:strCache>
            </c:strRef>
          </c:cat>
          <c:val>
            <c:numRef>
              <c:f>分析!$C$45:$E$45</c:f>
              <c:numCache>
                <c:formatCode>0.00%</c:formatCode>
                <c:ptCount val="3"/>
                <c:pt idx="0">
                  <c:v>0.906949352179035</c:v>
                </c:pt>
                <c:pt idx="1">
                  <c:v>0.698307579102281</c:v>
                </c:pt>
                <c:pt idx="2">
                  <c:v>0.778532608695652</c:v>
                </c:pt>
              </c:numCache>
            </c:numRef>
          </c:val>
          <c:smooth val="0"/>
        </c:ser>
        <c:dLbls>
          <c:showLegendKey val="0"/>
          <c:showVal val="0"/>
          <c:showCatName val="0"/>
          <c:showSerName val="0"/>
          <c:showPercent val="0"/>
          <c:showBubbleSize val="0"/>
        </c:dLbls>
        <c:marker val="1"/>
        <c:smooth val="0"/>
        <c:axId val="286540160"/>
        <c:axId val="286538368"/>
      </c:lineChart>
      <c:catAx>
        <c:axId val="286452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536832"/>
        <c:crosses val="autoZero"/>
        <c:auto val="1"/>
        <c:lblAlgn val="ctr"/>
        <c:lblOffset val="100"/>
        <c:noMultiLvlLbl val="0"/>
      </c:catAx>
      <c:valAx>
        <c:axId val="286536832"/>
        <c:scaling>
          <c:orientation val="minMax"/>
        </c:scaling>
        <c:delete val="0"/>
        <c:axPos val="l"/>
        <c:numFmt formatCode="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452736"/>
        <c:crosses val="autoZero"/>
        <c:crossBetween val="between"/>
      </c:valAx>
      <c:catAx>
        <c:axId val="286540160"/>
        <c:scaling>
          <c:orientation val="minMax"/>
        </c:scaling>
        <c:delete val="1"/>
        <c:axPos val="b"/>
        <c:numFmt formatCode="General"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6538368"/>
        <c:crosses val="autoZero"/>
        <c:auto val="1"/>
        <c:lblAlgn val="ctr"/>
        <c:lblOffset val="100"/>
        <c:noMultiLvlLbl val="0"/>
      </c:catAx>
      <c:valAx>
        <c:axId val="286538368"/>
        <c:scaling>
          <c:orientation val="minMax"/>
        </c:scaling>
        <c:delete val="0"/>
        <c:axPos val="r"/>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540160"/>
        <c:crosses val="max"/>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36227070507129"/>
          <c:y val="0.0369437349825172"/>
          <c:w val="0.712472964908961"/>
          <c:h val="0.885144387329013"/>
        </c:manualLayout>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15"/>
            <c:invertIfNegative val="0"/>
            <c:bubble3D val="0"/>
            <c:spPr>
              <a:solidFill>
                <a:srgbClr val="C00000"/>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2">
                          <a:lumMod val="35000"/>
                          <a:lumOff val="65000"/>
                        </a:schemeClr>
                      </a:solidFill>
                      <a:prstDash val="solid"/>
                      <a:round/>
                    </a:ln>
                    <a:effectLst/>
                  </c:spPr>
                </c15:leaderLines>
              </c:ext>
            </c:extLst>
          </c:dLbls>
          <c:cat>
            <c:strRef>
              <c:f>分析!$F$116:$F$134</c:f>
              <c:strCache>
                <c:ptCount val="19"/>
                <c:pt idx="0">
                  <c:v>汽车检测与维修技术</c:v>
                </c:pt>
                <c:pt idx="1">
                  <c:v>应用电子技术</c:v>
                </c:pt>
                <c:pt idx="2">
                  <c:v>物流管理</c:v>
                </c:pt>
                <c:pt idx="3">
                  <c:v>数控技术</c:v>
                </c:pt>
                <c:pt idx="4">
                  <c:v>模具设计与制造</c:v>
                </c:pt>
                <c:pt idx="5">
                  <c:v>软件开发与项目管理</c:v>
                </c:pt>
                <c:pt idx="6">
                  <c:v>机电一体化技术</c:v>
                </c:pt>
                <c:pt idx="7">
                  <c:v>装潢艺术设计</c:v>
                </c:pt>
                <c:pt idx="8">
                  <c:v>酒店管理</c:v>
                </c:pt>
                <c:pt idx="9">
                  <c:v>嵌入式技术与应用</c:v>
                </c:pt>
                <c:pt idx="10">
                  <c:v>计算机网络技术</c:v>
                </c:pt>
                <c:pt idx="11">
                  <c:v>楼宇智能化工程技术</c:v>
                </c:pt>
                <c:pt idx="12">
                  <c:v>建筑工程技术</c:v>
                </c:pt>
                <c:pt idx="13">
                  <c:v>会计</c:v>
                </c:pt>
                <c:pt idx="14">
                  <c:v>康复治疗技术</c:v>
                </c:pt>
                <c:pt idx="15">
                  <c:v>总体</c:v>
                </c:pt>
                <c:pt idx="16">
                  <c:v>临床医学</c:v>
                </c:pt>
                <c:pt idx="17">
                  <c:v>护理</c:v>
                </c:pt>
                <c:pt idx="18">
                  <c:v>学前教育</c:v>
                </c:pt>
              </c:strCache>
            </c:strRef>
          </c:cat>
          <c:val>
            <c:numRef>
              <c:f>分析!$G$116:$G$134</c:f>
              <c:numCache>
                <c:formatCode>0</c:formatCode>
                <c:ptCount val="19"/>
                <c:pt idx="0">
                  <c:v>4104.4603960396</c:v>
                </c:pt>
                <c:pt idx="1">
                  <c:v>3992.02542372881</c:v>
                </c:pt>
                <c:pt idx="2">
                  <c:v>3833.83333333334</c:v>
                </c:pt>
                <c:pt idx="3">
                  <c:v>3800.5</c:v>
                </c:pt>
                <c:pt idx="4">
                  <c:v>3794.61764705882</c:v>
                </c:pt>
                <c:pt idx="5">
                  <c:v>3714.78571428571</c:v>
                </c:pt>
                <c:pt idx="6">
                  <c:v>3667.16666666666</c:v>
                </c:pt>
                <c:pt idx="7">
                  <c:v>3500.5</c:v>
                </c:pt>
                <c:pt idx="8">
                  <c:v>3500.46875</c:v>
                </c:pt>
                <c:pt idx="9">
                  <c:v>3473.47297297298</c:v>
                </c:pt>
                <c:pt idx="10">
                  <c:v>3411.61111111111</c:v>
                </c:pt>
                <c:pt idx="11">
                  <c:v>3383.21604938271</c:v>
                </c:pt>
                <c:pt idx="12">
                  <c:v>3367.83673469388</c:v>
                </c:pt>
                <c:pt idx="13">
                  <c:v>3287.95</c:v>
                </c:pt>
                <c:pt idx="14">
                  <c:v>3069.41379310345</c:v>
                </c:pt>
                <c:pt idx="15">
                  <c:v>3052.97758152174</c:v>
                </c:pt>
                <c:pt idx="16">
                  <c:v>2870.5556640625</c:v>
                </c:pt>
                <c:pt idx="17">
                  <c:v>2627.3526645768</c:v>
                </c:pt>
                <c:pt idx="18">
                  <c:v>2577.98706896552</c:v>
                </c:pt>
              </c:numCache>
            </c:numRef>
          </c:val>
        </c:ser>
        <c:dLbls>
          <c:showLegendKey val="0"/>
          <c:showVal val="1"/>
          <c:showCatName val="0"/>
          <c:showSerName val="0"/>
          <c:showPercent val="0"/>
          <c:showBubbleSize val="0"/>
        </c:dLbls>
        <c:gapWidth val="100"/>
        <c:axId val="286570752"/>
        <c:axId val="286584832"/>
      </c:barChart>
      <c:catAx>
        <c:axId val="286570752"/>
        <c:scaling>
          <c:orientation val="maxMin"/>
        </c:scaling>
        <c:delete val="0"/>
        <c:axPos val="l"/>
        <c:numFmt formatCode="General" sourceLinked="1"/>
        <c:majorTickMark val="none"/>
        <c:minorTickMark val="none"/>
        <c:tickLblPos val="nextTo"/>
        <c:spPr>
          <a:noFill/>
          <a:ln w="9525" cap="flat" cmpd="sng" algn="ctr">
            <a:solidFill>
              <a:schemeClr val="tx2">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286584832"/>
        <c:crosses val="autoZero"/>
        <c:auto val="1"/>
        <c:lblAlgn val="ctr"/>
        <c:lblOffset val="100"/>
        <c:noMultiLvlLbl val="0"/>
      </c:catAx>
      <c:valAx>
        <c:axId val="286584832"/>
        <c:scaling>
          <c:orientation val="minMax"/>
        </c:scaling>
        <c:delete val="0"/>
        <c:axPos val="b"/>
        <c:numFmt formatCode="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p>
        </c:txPr>
        <c:crossAx val="286570752"/>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修改数据分析!$K$172</c:f>
              <c:strCache>
                <c:ptCount val="1"/>
                <c:pt idx="0">
                  <c:v>男</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delete val="1"/>
          </c:dLbls>
          <c:cat>
            <c:strRef>
              <c:f>修改数据分析!$L$171:$P$171</c:f>
              <c:strCache>
                <c:ptCount val="5"/>
                <c:pt idx="0">
                  <c:v>非常相关</c:v>
                </c:pt>
                <c:pt idx="1">
                  <c:v>相关</c:v>
                </c:pt>
                <c:pt idx="2">
                  <c:v>比较相关</c:v>
                </c:pt>
                <c:pt idx="3">
                  <c:v>相关度比较小</c:v>
                </c:pt>
                <c:pt idx="4">
                  <c:v>很不相关</c:v>
                </c:pt>
              </c:strCache>
            </c:strRef>
          </c:cat>
          <c:val>
            <c:numRef>
              <c:f>修改数据分析!$L$172:$P$172</c:f>
              <c:numCache>
                <c:formatCode>0.00%</c:formatCode>
                <c:ptCount val="5"/>
                <c:pt idx="0">
                  <c:v>0.1672</c:v>
                </c:pt>
                <c:pt idx="1">
                  <c:v>0.637220259128387</c:v>
                </c:pt>
                <c:pt idx="2">
                  <c:v>0.171967020023557</c:v>
                </c:pt>
                <c:pt idx="3">
                  <c:v>0.0129564193168433</c:v>
                </c:pt>
                <c:pt idx="4">
                  <c:v>0.0106007067137809</c:v>
                </c:pt>
              </c:numCache>
            </c:numRef>
          </c:val>
        </c:ser>
        <c:ser>
          <c:idx val="1"/>
          <c:order val="1"/>
          <c:tx>
            <c:strRef>
              <c:f>修改数据分析!$K$173</c:f>
              <c:strCache>
                <c:ptCount val="1"/>
                <c:pt idx="0">
                  <c:v>女</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delete val="1"/>
          </c:dLbls>
          <c:cat>
            <c:strRef>
              <c:f>修改数据分析!$L$171:$P$171</c:f>
              <c:strCache>
                <c:ptCount val="5"/>
                <c:pt idx="0">
                  <c:v>非常相关</c:v>
                </c:pt>
                <c:pt idx="1">
                  <c:v>相关</c:v>
                </c:pt>
                <c:pt idx="2">
                  <c:v>比较相关</c:v>
                </c:pt>
                <c:pt idx="3">
                  <c:v>相关度比较小</c:v>
                </c:pt>
                <c:pt idx="4">
                  <c:v>很不相关</c:v>
                </c:pt>
              </c:strCache>
            </c:strRef>
          </c:cat>
          <c:val>
            <c:numRef>
              <c:f>修改数据分析!$L$173:$P$173</c:f>
              <c:numCache>
                <c:formatCode>0.00%</c:formatCode>
                <c:ptCount val="5"/>
                <c:pt idx="0">
                  <c:v>0.310522442972774</c:v>
                </c:pt>
                <c:pt idx="1">
                  <c:v>0.466519499632083</c:v>
                </c:pt>
                <c:pt idx="2">
                  <c:v>0.15673289183223</c:v>
                </c:pt>
                <c:pt idx="3">
                  <c:v>0.0448859455481972</c:v>
                </c:pt>
                <c:pt idx="4">
                  <c:v>0.0214392200147167</c:v>
                </c:pt>
              </c:numCache>
            </c:numRef>
          </c:val>
        </c:ser>
        <c:ser>
          <c:idx val="2"/>
          <c:order val="2"/>
          <c:tx>
            <c:strRef>
              <c:f>修改数据分析!$K$174</c:f>
              <c:strCache>
                <c:ptCount val="1"/>
                <c:pt idx="0">
                  <c:v>总体</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delete val="1"/>
          </c:dLbls>
          <c:cat>
            <c:strRef>
              <c:f>修改数据分析!$L$171:$P$171</c:f>
              <c:strCache>
                <c:ptCount val="5"/>
                <c:pt idx="0">
                  <c:v>非常相关</c:v>
                </c:pt>
                <c:pt idx="1">
                  <c:v>相关</c:v>
                </c:pt>
                <c:pt idx="2">
                  <c:v>比较相关</c:v>
                </c:pt>
                <c:pt idx="3">
                  <c:v>相关度比较小</c:v>
                </c:pt>
                <c:pt idx="4">
                  <c:v>很不相关</c:v>
                </c:pt>
              </c:strCache>
            </c:strRef>
          </c:cat>
          <c:val>
            <c:numRef>
              <c:f>修改数据分析!$L$174:$P$174</c:f>
              <c:numCache>
                <c:formatCode>0.00%</c:formatCode>
                <c:ptCount val="5"/>
                <c:pt idx="0">
                  <c:v>0.255434782608696</c:v>
                </c:pt>
                <c:pt idx="1">
                  <c:v>0.532155797101449</c:v>
                </c:pt>
                <c:pt idx="2">
                  <c:v>0.162590579710145</c:v>
                </c:pt>
                <c:pt idx="3">
                  <c:v>0.032608695652174</c:v>
                </c:pt>
                <c:pt idx="4">
                  <c:v>0.0172101449275362</c:v>
                </c:pt>
              </c:numCache>
            </c:numRef>
          </c:val>
        </c:ser>
        <c:dLbls>
          <c:showLegendKey val="0"/>
          <c:showVal val="0"/>
          <c:showCatName val="0"/>
          <c:showSerName val="0"/>
          <c:showPercent val="0"/>
          <c:showBubbleSize val="0"/>
        </c:dLbls>
        <c:gapWidth val="100"/>
        <c:overlap val="-24"/>
        <c:axId val="286602752"/>
        <c:axId val="286604288"/>
      </c:barChart>
      <c:catAx>
        <c:axId val="286602752"/>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p>
        </c:txPr>
        <c:crossAx val="286604288"/>
        <c:crosses val="autoZero"/>
        <c:auto val="1"/>
        <c:lblAlgn val="ctr"/>
        <c:lblOffset val="100"/>
        <c:noMultiLvlLbl val="0"/>
      </c:catAx>
      <c:valAx>
        <c:axId val="286604288"/>
        <c:scaling>
          <c:orientation val="minMax"/>
        </c:scaling>
        <c:delete val="0"/>
        <c:axPos val="l"/>
        <c:majorGridlines>
          <c:spPr>
            <a:ln w="9525" cap="flat" cmpd="sng" algn="ctr">
              <a:solidFill>
                <a:schemeClr val="tx2">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p>
        </c:txPr>
        <c:crossAx val="286602752"/>
        <c:crosses val="autoZero"/>
        <c:crossBetween val="between"/>
      </c:valAx>
      <c:dTable>
        <c:showHorzBorder val="1"/>
        <c:showVertBorder val="1"/>
        <c:showOutline val="1"/>
        <c:showKeys val="1"/>
        <c:spPr>
          <a:noFill/>
          <a:ln w="9525" cap="flat" cmpd="sng" algn="ctr">
            <a:solidFill>
              <a:schemeClr val="tx2">
                <a:lumMod val="15000"/>
                <a:lumOff val="85000"/>
              </a:schemeClr>
            </a:solidFill>
            <a:prstDash val="solid"/>
            <a:round/>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修改数据分析!$C$211</c:f>
              <c:strCache>
                <c:ptCount val="1"/>
                <c:pt idx="0">
                  <c:v>男</c:v>
                </c:pt>
              </c:strCache>
            </c:strRef>
          </c:tx>
          <c:spPr>
            <a:pattFill prst="narHorz">
              <a:fgClr>
                <a:schemeClr val="accent6"/>
              </a:fgClr>
              <a:bgClr>
                <a:schemeClr val="accent6">
                  <a:lumMod val="20000"/>
                  <a:lumOff val="80000"/>
                </a:schemeClr>
              </a:bgClr>
            </a:pattFill>
            <a:ln>
              <a:noFill/>
            </a:ln>
            <a:effectLst>
              <a:innerShdw blurRad="114300">
                <a:schemeClr val="accent6"/>
              </a:innerShdw>
            </a:effectLst>
          </c:spPr>
          <c:invertIfNegative val="0"/>
          <c:dLbls>
            <c:delete val="1"/>
          </c:dLbls>
          <c:cat>
            <c:strRef>
              <c:f>修改数据分析!$D$210:$H$210</c:f>
              <c:strCache>
                <c:ptCount val="5"/>
                <c:pt idx="0">
                  <c:v>非常一致</c:v>
                </c:pt>
                <c:pt idx="1">
                  <c:v>一致</c:v>
                </c:pt>
                <c:pt idx="2">
                  <c:v>比较一致</c:v>
                </c:pt>
                <c:pt idx="3">
                  <c:v>不太一致</c:v>
                </c:pt>
                <c:pt idx="4">
                  <c:v>很不一致</c:v>
                </c:pt>
              </c:strCache>
            </c:strRef>
          </c:cat>
          <c:val>
            <c:numRef>
              <c:f>修改数据分析!$D$211:$H$211</c:f>
              <c:numCache>
                <c:formatCode>0.00%</c:formatCode>
                <c:ptCount val="5"/>
                <c:pt idx="0">
                  <c:v>0.113074204946997</c:v>
                </c:pt>
                <c:pt idx="1">
                  <c:v>0.604240282685513</c:v>
                </c:pt>
                <c:pt idx="2">
                  <c:v>0.241460541813899</c:v>
                </c:pt>
                <c:pt idx="3">
                  <c:v>0.0318021201413428</c:v>
                </c:pt>
                <c:pt idx="4">
                  <c:v>0.00942285041224972</c:v>
                </c:pt>
              </c:numCache>
            </c:numRef>
          </c:val>
        </c:ser>
        <c:ser>
          <c:idx val="1"/>
          <c:order val="1"/>
          <c:tx>
            <c:strRef>
              <c:f>修改数据分析!$C$212</c:f>
              <c:strCache>
                <c:ptCount val="1"/>
                <c:pt idx="0">
                  <c:v>女</c:v>
                </c:pt>
              </c:strCache>
            </c:strRef>
          </c:tx>
          <c:spPr>
            <a:pattFill prst="narHorz">
              <a:fgClr>
                <a:schemeClr val="accent5"/>
              </a:fgClr>
              <a:bgClr>
                <a:schemeClr val="accent5">
                  <a:lumMod val="20000"/>
                  <a:lumOff val="80000"/>
                </a:schemeClr>
              </a:bgClr>
            </a:pattFill>
            <a:ln>
              <a:noFill/>
            </a:ln>
            <a:effectLst>
              <a:innerShdw blurRad="114300">
                <a:schemeClr val="accent5"/>
              </a:innerShdw>
            </a:effectLst>
          </c:spPr>
          <c:invertIfNegative val="0"/>
          <c:dLbls>
            <c:delete val="1"/>
          </c:dLbls>
          <c:cat>
            <c:strRef>
              <c:f>修改数据分析!$D$210:$H$210</c:f>
              <c:strCache>
                <c:ptCount val="5"/>
                <c:pt idx="0">
                  <c:v>非常一致</c:v>
                </c:pt>
                <c:pt idx="1">
                  <c:v>一致</c:v>
                </c:pt>
                <c:pt idx="2">
                  <c:v>比较一致</c:v>
                </c:pt>
                <c:pt idx="3">
                  <c:v>不太一致</c:v>
                </c:pt>
                <c:pt idx="4">
                  <c:v>很不一致</c:v>
                </c:pt>
              </c:strCache>
            </c:strRef>
          </c:cat>
          <c:val>
            <c:numRef>
              <c:f>修改数据分析!$D$212:$H$212</c:f>
              <c:numCache>
                <c:formatCode>0.00%</c:formatCode>
                <c:ptCount val="5"/>
                <c:pt idx="0">
                  <c:v>0.122884473877851</c:v>
                </c:pt>
                <c:pt idx="1">
                  <c:v>0.410596026490066</c:v>
                </c:pt>
                <c:pt idx="2">
                  <c:v>0.3296</c:v>
                </c:pt>
                <c:pt idx="3">
                  <c:v>0.122884473877851</c:v>
                </c:pt>
                <c:pt idx="4">
                  <c:v>0.0139808682855041</c:v>
                </c:pt>
              </c:numCache>
            </c:numRef>
          </c:val>
        </c:ser>
        <c:ser>
          <c:idx val="2"/>
          <c:order val="2"/>
          <c:tx>
            <c:strRef>
              <c:f>修改数据分析!$C$213</c:f>
              <c:strCache>
                <c:ptCount val="1"/>
                <c:pt idx="0">
                  <c:v>总体</c:v>
                </c:pt>
              </c:strCache>
            </c:strRef>
          </c:tx>
          <c:spPr>
            <a:pattFill prst="narHorz">
              <a:fgClr>
                <a:schemeClr val="accent4"/>
              </a:fgClr>
              <a:bgClr>
                <a:schemeClr val="accent4">
                  <a:lumMod val="20000"/>
                  <a:lumOff val="80000"/>
                </a:schemeClr>
              </a:bgClr>
            </a:pattFill>
            <a:ln>
              <a:noFill/>
            </a:ln>
            <a:effectLst>
              <a:innerShdw blurRad="114300">
                <a:schemeClr val="accent4"/>
              </a:innerShdw>
            </a:effectLst>
          </c:spPr>
          <c:invertIfNegative val="0"/>
          <c:dLbls>
            <c:delete val="1"/>
          </c:dLbls>
          <c:cat>
            <c:strRef>
              <c:f>修改数据分析!$D$210:$H$210</c:f>
              <c:strCache>
                <c:ptCount val="5"/>
                <c:pt idx="0">
                  <c:v>非常一致</c:v>
                </c:pt>
                <c:pt idx="1">
                  <c:v>一致</c:v>
                </c:pt>
                <c:pt idx="2">
                  <c:v>比较一致</c:v>
                </c:pt>
                <c:pt idx="3">
                  <c:v>不太一致</c:v>
                </c:pt>
                <c:pt idx="4">
                  <c:v>很不一致</c:v>
                </c:pt>
              </c:strCache>
            </c:strRef>
          </c:cat>
          <c:val>
            <c:numRef>
              <c:f>修改数据分析!$D$213:$H$213</c:f>
              <c:numCache>
                <c:formatCode>0.00%</c:formatCode>
                <c:ptCount val="5"/>
                <c:pt idx="0">
                  <c:v>0.11911231884058</c:v>
                </c:pt>
                <c:pt idx="1">
                  <c:v>0.485054347826087</c:v>
                </c:pt>
                <c:pt idx="2">
                  <c:v>0.295742753623188</c:v>
                </c:pt>
                <c:pt idx="3">
                  <c:v>0.0878623188405797</c:v>
                </c:pt>
                <c:pt idx="4">
                  <c:v>0.0122282608695652</c:v>
                </c:pt>
              </c:numCache>
            </c:numRef>
          </c:val>
        </c:ser>
        <c:dLbls>
          <c:showLegendKey val="0"/>
          <c:showVal val="0"/>
          <c:showCatName val="0"/>
          <c:showSerName val="0"/>
          <c:showPercent val="0"/>
          <c:showBubbleSize val="0"/>
        </c:dLbls>
        <c:gapWidth val="150"/>
        <c:axId val="286628096"/>
        <c:axId val="286638080"/>
      </c:barChart>
      <c:catAx>
        <c:axId val="28662809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638080"/>
        <c:crosses val="autoZero"/>
        <c:auto val="1"/>
        <c:lblAlgn val="ctr"/>
        <c:lblOffset val="100"/>
        <c:noMultiLvlLbl val="0"/>
      </c:catAx>
      <c:valAx>
        <c:axId val="286638080"/>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62809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分析!$C$272:$C$276</c:f>
              <c:strCache>
                <c:ptCount val="5"/>
                <c:pt idx="0">
                  <c:v>0次</c:v>
                </c:pt>
                <c:pt idx="1">
                  <c:v>1次</c:v>
                </c:pt>
                <c:pt idx="2">
                  <c:v>2次</c:v>
                </c:pt>
                <c:pt idx="3">
                  <c:v>3次</c:v>
                </c:pt>
                <c:pt idx="4">
                  <c:v>4次</c:v>
                </c:pt>
              </c:strCache>
            </c:strRef>
          </c:cat>
          <c:val>
            <c:numRef>
              <c:f>分析!$E$272:$E$276</c:f>
              <c:numCache>
                <c:formatCode>0.00%</c:formatCode>
                <c:ptCount val="5"/>
                <c:pt idx="0">
                  <c:v>0.732336956521739</c:v>
                </c:pt>
                <c:pt idx="1">
                  <c:v>0.168478260869565</c:v>
                </c:pt>
                <c:pt idx="2">
                  <c:v>0.0783514492753623</c:v>
                </c:pt>
                <c:pt idx="3">
                  <c:v>0.0194</c:v>
                </c:pt>
                <c:pt idx="4">
                  <c:v>0.00135869565217391</c:v>
                </c:pt>
              </c:numCache>
            </c:numRef>
          </c:val>
        </c:ser>
        <c:dLbls>
          <c:showLegendKey val="0"/>
          <c:showVal val="1"/>
          <c:showCatName val="0"/>
          <c:showSerName val="0"/>
          <c:showPercent val="0"/>
          <c:showBubbleSize val="0"/>
        </c:dLbls>
        <c:gapWidth val="150"/>
        <c:axId val="286668288"/>
        <c:axId val="286669824"/>
      </c:barChart>
      <c:catAx>
        <c:axId val="28666828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669824"/>
        <c:crosses val="autoZero"/>
        <c:auto val="1"/>
        <c:lblAlgn val="ctr"/>
        <c:lblOffset val="100"/>
        <c:noMultiLvlLbl val="0"/>
      </c:catAx>
      <c:valAx>
        <c:axId val="286669824"/>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6668288"/>
        <c:crosses val="autoZero"/>
        <c:crossBetween val="between"/>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explosion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Pt>
            <c:idx val="5"/>
            <c:bubble3D val="0"/>
            <c:spPr>
              <a:solidFill>
                <a:schemeClr val="accent6"/>
              </a:solidFill>
              <a:ln w="25400">
                <a:solidFill>
                  <a:schemeClr val="lt1"/>
                </a:solidFill>
              </a:ln>
              <a:effectLst/>
              <a:sp3d contourW="25400">
                <a:contourClr>
                  <a:schemeClr val="lt1"/>
                </a:contourClr>
              </a:sp3d>
            </c:spPr>
          </c:dPt>
          <c:dPt>
            <c:idx val="6"/>
            <c:bubble3D val="0"/>
            <c:spPr>
              <a:solidFill>
                <a:schemeClr val="accent1">
                  <a:lumMod val="60000"/>
                </a:schemeClr>
              </a:solidFill>
              <a:ln w="25400">
                <a:solidFill>
                  <a:schemeClr val="lt1"/>
                </a:solidFill>
              </a:ln>
              <a:effectLst/>
              <a:sp3d contourW="25400">
                <a:contourClr>
                  <a:schemeClr val="lt1"/>
                </a:contourClr>
              </a:sp3d>
            </c:spPr>
          </c:dPt>
          <c:dPt>
            <c:idx val="7"/>
            <c:bubble3D val="0"/>
            <c:spPr>
              <a:solidFill>
                <a:schemeClr val="accent2">
                  <a:lumMod val="60000"/>
                </a:schemeClr>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分析!$D$285:$D$292</c:f>
              <c:strCache>
                <c:ptCount val="8"/>
                <c:pt idx="0">
                  <c:v>发展空间不大</c:v>
                </c:pt>
                <c:pt idx="1">
                  <c:v>薪资福利差</c:v>
                </c:pt>
                <c:pt idx="2">
                  <c:v>工作地域问题</c:v>
                </c:pt>
                <c:pt idx="3">
                  <c:v>工作环境不好</c:v>
                </c:pt>
                <c:pt idx="4">
                  <c:v>工作压力大</c:v>
                </c:pt>
                <c:pt idx="5">
                  <c:v>其他</c:v>
                </c:pt>
                <c:pt idx="6">
                  <c:v>家庭原因</c:v>
                </c:pt>
                <c:pt idx="7">
                  <c:v>与领导/同事关系不好</c:v>
                </c:pt>
              </c:strCache>
            </c:strRef>
          </c:cat>
          <c:val>
            <c:numRef>
              <c:f>分析!$F$285:$F$292</c:f>
              <c:numCache>
                <c:formatCode>0.00%</c:formatCode>
                <c:ptCount val="8"/>
                <c:pt idx="0">
                  <c:v>0.244761904761905</c:v>
                </c:pt>
                <c:pt idx="1">
                  <c:v>0.211428571428571</c:v>
                </c:pt>
                <c:pt idx="2">
                  <c:v>0.146666666666667</c:v>
                </c:pt>
                <c:pt idx="3">
                  <c:v>0.111428571428572</c:v>
                </c:pt>
                <c:pt idx="4">
                  <c:v>0.102857142857143</c:v>
                </c:pt>
                <c:pt idx="5">
                  <c:v>0.0952380952380952</c:v>
                </c:pt>
                <c:pt idx="6">
                  <c:v>0.0780952380952381</c:v>
                </c:pt>
                <c:pt idx="7">
                  <c:v>0.00952380952380952</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37410104986877"/>
          <c:y val="0.153301078329064"/>
          <c:w val="0.550831802274716"/>
          <c:h val="0.79638332858995"/>
        </c:manualLayout>
      </c:layout>
      <c:radarChart>
        <c:radarStyle val="marker"/>
        <c:varyColors val="0"/>
        <c:ser>
          <c:idx val="0"/>
          <c:order val="0"/>
          <c:tx>
            <c:strRef>
              <c:f>分析!$H$350</c:f>
              <c:strCache>
                <c:ptCount val="1"/>
                <c:pt idx="0">
                  <c:v/>
                </c:pt>
              </c:strCache>
            </c:strRef>
          </c:tx>
          <c:spPr>
            <a:ln w="28575" cap="rnd" cmpd="sng" algn="ctr">
              <a:noFill/>
              <a:prstDash val="solid"/>
              <a:round/>
            </a:ln>
            <a:effectLst/>
          </c:spPr>
          <c:marker>
            <c:symbol val="picture"/>
            <c:spPr>
              <a:blipFill>
                <a:blip xmlns:r="http://schemas.openxmlformats.org/officeDocument/2006/relationships" r:embed="rId3"/>
                <a:stretch>
                  <a:fillRect/>
                </a:stretch>
              </a:blipFill>
              <a:ln w="25400" cap="flat" cmpd="sng" algn="ctr">
                <a:noFill/>
                <a:prstDash val="solid"/>
                <a:round/>
              </a:ln>
              <a:effectLst/>
            </c:spPr>
          </c:marker>
          <c:dLbls>
            <c:dLbl>
              <c:idx val="0"/>
              <c:layout>
                <c:manualLayout>
                  <c:x val="-0.0555555555555557"/>
                  <c:y val="0.0122594675665542"/>
                </c:manualLayout>
              </c:layout>
              <c:showLegendKey val="0"/>
              <c:showVal val="1"/>
              <c:showCatName val="1"/>
              <c:showSerName val="0"/>
              <c:showPercent val="0"/>
              <c:showBubbleSize val="0"/>
              <c:separator>
</c:separator>
              <c:extLst>
                <c:ext xmlns:c15="http://schemas.microsoft.com/office/drawing/2012/chart" uri="{CE6537A1-D6FC-4f65-9D91-7224C49458BB}">
                  <c15:layout/>
                </c:ext>
              </c:extLst>
            </c:dLbl>
            <c:dLbl>
              <c:idx val="1"/>
              <c:layout>
                <c:manualLayout>
                  <c:x val="0.0305555555555556"/>
                  <c:y val="0"/>
                </c:manualLayout>
              </c:layout>
              <c:showLegendKey val="0"/>
              <c:showVal val="1"/>
              <c:showCatName val="1"/>
              <c:showSerName val="0"/>
              <c:showPercent val="0"/>
              <c:showBubbleSize val="0"/>
              <c:separator>
</c:separator>
              <c:extLst>
                <c:ext xmlns:c15="http://schemas.microsoft.com/office/drawing/2012/chart" uri="{CE6537A1-D6FC-4f65-9D91-7224C49458BB}">
                  <c15:layout/>
                </c:ext>
              </c:extLst>
            </c:dLbl>
            <c:dLbl>
              <c:idx val="3"/>
              <c:layout>
                <c:manualLayout>
                  <c:x val="0.0194444444444444"/>
                  <c:y val="0"/>
                </c:manualLayout>
              </c:layout>
              <c:showLegendKey val="0"/>
              <c:showVal val="1"/>
              <c:showCatName val="1"/>
              <c:showSerName val="0"/>
              <c:showPercent val="0"/>
              <c:showBubbleSize val="0"/>
              <c:separator>
</c:separator>
              <c:extLst>
                <c:ext xmlns:c15="http://schemas.microsoft.com/office/drawing/2012/chart" uri="{CE6537A1-D6FC-4f65-9D91-7224C49458BB}">
                  <c15:layout/>
                </c:ext>
              </c:extLst>
            </c:dLbl>
            <c:dLbl>
              <c:idx val="4"/>
              <c:layout>
                <c:manualLayout>
                  <c:x val="-0.05"/>
                  <c:y val="-8.73005787978517e-17"/>
                </c:manualLayout>
              </c:layout>
              <c:showLegendKey val="0"/>
              <c:showVal val="1"/>
              <c:showCatName val="1"/>
              <c:showSerName val="0"/>
              <c:showPercent val="0"/>
              <c:showBubbleSize val="0"/>
              <c:separator>
</c:separator>
              <c:extLst>
                <c:ext xmlns:c15="http://schemas.microsoft.com/office/drawing/2012/chart" uri="{CE6537A1-D6FC-4f65-9D91-7224C49458BB}">
                  <c15:layout/>
                </c:ext>
              </c:extLst>
            </c:dLbl>
            <c:dLbl>
              <c:idx val="5"/>
              <c:layout>
                <c:manualLayout>
                  <c:x val="-0.0166666666666667"/>
                  <c:y val="0.0133678290213723"/>
                </c:manualLayout>
              </c:layout>
              <c:showLegendKey val="0"/>
              <c:showVal val="1"/>
              <c:showCatName val="1"/>
              <c:showSerName val="0"/>
              <c:showPercent val="0"/>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spAutoFit/>
              </a:bodyPr>
              <a:lstStyle/>
              <a:p>
                <a:pPr>
                  <a:defRPr lang="zh-CN" sz="800" b="0" i="0" u="none" strike="noStrike" kern="1200" baseline="0">
                    <a:solidFill>
                      <a:sysClr val="windowText" lastClr="000000"/>
                    </a:solidFill>
                    <a:latin typeface="Arial" panose="020B0604020202020204" pitchFamily="2" charset="0"/>
                    <a:ea typeface="微软雅黑" panose="020B0503020204020204" charset="-122"/>
                    <a:cs typeface="Arial" panose="020B0604020202020204" pitchFamily="2" charset="0"/>
                  </a:defRPr>
                </a:pPr>
              </a:p>
            </c:txPr>
            <c:showLegendKey val="0"/>
            <c:showVal val="1"/>
            <c:showCatName val="1"/>
            <c:showSerName val="0"/>
            <c:showPercent val="0"/>
            <c:showBubbleSize val="0"/>
            <c:separator>
</c:separator>
            <c:showLeaderLines val="0"/>
            <c:extLst>
              <c:ext xmlns:c15="http://schemas.microsoft.com/office/drawing/2012/chart" uri="{CE6537A1-D6FC-4f65-9D91-7224C49458BB}">
                <c15:layout/>
                <c15:showLeaderLines val="0"/>
                <c15:leaderLines/>
              </c:ext>
            </c:extLst>
          </c:dLbls>
          <c:cat>
            <c:strRef>
              <c:f>分析!$G$351:$G$356</c:f>
              <c:strCache>
                <c:ptCount val="6"/>
                <c:pt idx="0">
                  <c:v>工作环境</c:v>
                </c:pt>
                <c:pt idx="1">
                  <c:v>行业前途</c:v>
                </c:pt>
                <c:pt idx="2">
                  <c:v>岗位稳定性</c:v>
                </c:pt>
                <c:pt idx="3">
                  <c:v>岗位前途</c:v>
                </c:pt>
                <c:pt idx="4">
                  <c:v>岗位培训机会</c:v>
                </c:pt>
                <c:pt idx="5">
                  <c:v>福利保障</c:v>
                </c:pt>
              </c:strCache>
            </c:strRef>
          </c:cat>
          <c:val>
            <c:numRef>
              <c:f>分析!$H$351:$H$356</c:f>
              <c:numCache>
                <c:formatCode>0.00%</c:formatCode>
                <c:ptCount val="6"/>
                <c:pt idx="0">
                  <c:v>0.946557971014493</c:v>
                </c:pt>
                <c:pt idx="1">
                  <c:v>0.938405797101449</c:v>
                </c:pt>
                <c:pt idx="2">
                  <c:v>0.919384057971015</c:v>
                </c:pt>
                <c:pt idx="3">
                  <c:v>0.901721014492754</c:v>
                </c:pt>
                <c:pt idx="4">
                  <c:v>0.895380434782608</c:v>
                </c:pt>
                <c:pt idx="5">
                  <c:v>0.860507246376812</c:v>
                </c:pt>
              </c:numCache>
            </c:numRef>
          </c:val>
        </c:ser>
        <c:dLbls>
          <c:showLegendKey val="0"/>
          <c:showVal val="1"/>
          <c:showCatName val="0"/>
          <c:showSerName val="0"/>
          <c:showPercent val="0"/>
          <c:showBubbleSize val="0"/>
        </c:dLbls>
        <c:axId val="286983680"/>
        <c:axId val="286985216"/>
      </c:radarChart>
      <c:catAx>
        <c:axId val="286983680"/>
        <c:scaling>
          <c:orientation val="minMax"/>
        </c:scaling>
        <c:delete val="1"/>
        <c:axPos val="b"/>
        <c:majorGridlines/>
        <c:numFmt formatCode="General" sourceLinked="0"/>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6985216"/>
        <c:crosses val="autoZero"/>
        <c:auto val="1"/>
        <c:lblAlgn val="ctr"/>
        <c:lblOffset val="100"/>
        <c:noMultiLvlLbl val="0"/>
      </c:catAx>
      <c:valAx>
        <c:axId val="286985216"/>
        <c:scaling>
          <c:orientation val="minMax"/>
        </c:scaling>
        <c:delete val="1"/>
        <c:axPos val="l"/>
        <c:numFmt formatCode="0.00%" sourceLinked="1"/>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6983680"/>
        <c:crosses val="autoZero"/>
        <c:crossBetween val="between"/>
      </c:valAx>
      <c:spPr>
        <a:blipFill>
          <a:blip xmlns:r="http://schemas.openxmlformats.org/officeDocument/2006/relationships" r:embed="rId4"/>
          <a:stretch>
            <a:fillRect/>
          </a:stretch>
        </a:blipFill>
      </c:spPr>
    </c:plotArea>
    <c:plotVisOnly val="1"/>
    <c:dispBlanksAs val="gap"/>
    <c:showDLblsOverMax val="0"/>
  </c:chart>
  <c:spPr>
    <a:solidFill>
      <a:schemeClr val="bg1"/>
    </a:solidFill>
    <a:ln w="9525" cap="flat" cmpd="sng" algn="ctr">
      <a:solidFill>
        <a:schemeClr val="bg1">
          <a:lumMod val="95000"/>
        </a:schemeClr>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8798556430446"/>
          <c:y val="0.14568432856304"/>
          <c:w val="0.724207786526685"/>
          <c:h val="0.401291338582677"/>
        </c:manualLayout>
      </c:layout>
      <c:lineChart>
        <c:grouping val="standard"/>
        <c:varyColors val="0"/>
        <c:ser>
          <c:idx val="1"/>
          <c:order val="0"/>
          <c:spPr>
            <a:ln w="38100" cap="rnd" cmpd="sng" algn="ctr">
              <a:gradFill flip="none" rotWithShape="1">
                <a:gsLst>
                  <a:gs pos="0">
                    <a:srgbClr val="A173D3"/>
                  </a:gs>
                  <a:gs pos="72000">
                    <a:srgbClr val="2F8ECF"/>
                  </a:gs>
                  <a:gs pos="100000">
                    <a:srgbClr val="8FBF82"/>
                  </a:gs>
                </a:gsLst>
                <a:path path="circle">
                  <a:fillToRect l="100000" t="100000"/>
                </a:path>
                <a:tileRect r="-100000" b="-100000"/>
              </a:gradFill>
              <a:prstDash val="solid"/>
              <a:round/>
            </a:ln>
            <a:effectLst>
              <a:outerShdw blurRad="38100" dist="25400" dir="5400000" algn="t" rotWithShape="0">
                <a:schemeClr val="accent2">
                  <a:lumMod val="50000"/>
                  <a:alpha val="25000"/>
                </a:schemeClr>
              </a:outerShdw>
            </a:effectLst>
          </c:spPr>
          <c:marker>
            <c:symbol val="picture"/>
            <c:spPr>
              <a:blipFill>
                <a:blip xmlns:r="http://schemas.openxmlformats.org/officeDocument/2006/relationships" r:embed="rId3"/>
                <a:stretch>
                  <a:fillRect/>
                </a:stretch>
              </a:blipFill>
              <a:ln w="25400" cap="flat" cmpd="sng" algn="ctr">
                <a:noFill/>
                <a:prstDash val="solid"/>
                <a:round/>
              </a:ln>
              <a:effectLst>
                <a:outerShdw blurRad="38100" dist="25400" dir="5400000" algn="t" rotWithShape="0">
                  <a:schemeClr val="accent2">
                    <a:lumMod val="50000"/>
                    <a:alpha val="25000"/>
                  </a:schemeClr>
                </a:outerShdw>
              </a:effectLst>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Arial" panose="020B0604020202020204" pitchFamily="2" charset="0"/>
                    <a:ea typeface="+mn-ea"/>
                    <a:cs typeface="Arial" panose="020B0604020202020204" pitchFamily="2" charset="0"/>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分析!$B$398:$B$403</c:f>
              <c:strCache>
                <c:ptCount val="6"/>
                <c:pt idx="0">
                  <c:v>希望通过创业实现个人理想</c:v>
                </c:pt>
                <c:pt idx="1">
                  <c:v>对创业充满兴趣、激情</c:v>
                </c:pt>
                <c:pt idx="2">
                  <c:v>预期可能有更高收入</c:v>
                </c:pt>
                <c:pt idx="3">
                  <c:v>受他人邀请进行创业</c:v>
                </c:pt>
                <c:pt idx="4">
                  <c:v>有好的创业项目</c:v>
                </c:pt>
                <c:pt idx="5">
                  <c:v>未找到合适的工作</c:v>
                </c:pt>
              </c:strCache>
            </c:strRef>
          </c:cat>
          <c:val>
            <c:numRef>
              <c:f>分析!$D$398:$D$403</c:f>
              <c:numCache>
                <c:formatCode>0.00%</c:formatCode>
                <c:ptCount val="6"/>
                <c:pt idx="0">
                  <c:v>0.358974358974359</c:v>
                </c:pt>
                <c:pt idx="1">
                  <c:v>0.230769230769231</c:v>
                </c:pt>
                <c:pt idx="2">
                  <c:v>0.205128205128205</c:v>
                </c:pt>
                <c:pt idx="3">
                  <c:v>0.0769230769230769</c:v>
                </c:pt>
                <c:pt idx="4">
                  <c:v>0.0769230769230769</c:v>
                </c:pt>
                <c:pt idx="5">
                  <c:v>0.0512820512820513</c:v>
                </c:pt>
              </c:numCache>
            </c:numRef>
          </c:val>
          <c:smooth val="0"/>
        </c:ser>
        <c:dLbls>
          <c:showLegendKey val="0"/>
          <c:showVal val="1"/>
          <c:showCatName val="0"/>
          <c:showSerName val="0"/>
          <c:showPercent val="0"/>
          <c:showBubbleSize val="0"/>
        </c:dLbls>
        <c:marker val="1"/>
        <c:smooth val="0"/>
        <c:axId val="287042176"/>
        <c:axId val="287187328"/>
      </c:lineChart>
      <c:catAx>
        <c:axId val="287042176"/>
        <c:scaling>
          <c:orientation val="minMax"/>
        </c:scaling>
        <c:delete val="0"/>
        <c:axPos val="b"/>
        <c:numFmt formatCode="General" sourceLinked="0"/>
        <c:majorTickMark val="out"/>
        <c:minorTickMark val="none"/>
        <c:tickLblPos val="nextTo"/>
        <c:spPr>
          <a:ln w="9525" cap="flat" cmpd="sng" algn="ctr">
            <a:solidFill>
              <a:schemeClr val="bg1">
                <a:lumMod val="95000"/>
              </a:schemeClr>
            </a:solidFill>
            <a:prstDash val="solid"/>
            <a:round/>
          </a:ln>
        </c:spPr>
        <c:txPr>
          <a:bodyPr rot="-6000000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mn-cs"/>
              </a:defRPr>
            </a:pPr>
          </a:p>
        </c:txPr>
        <c:crossAx val="287187328"/>
        <c:crosses val="autoZero"/>
        <c:auto val="1"/>
        <c:lblAlgn val="ctr"/>
        <c:lblOffset val="100"/>
        <c:noMultiLvlLbl val="0"/>
      </c:catAx>
      <c:valAx>
        <c:axId val="287187328"/>
        <c:scaling>
          <c:orientation val="minMax"/>
        </c:scaling>
        <c:delete val="1"/>
        <c:axPos val="l"/>
        <c:numFmt formatCode="0.00%" sourceLinked="1"/>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7042176"/>
        <c:crosses val="autoZero"/>
        <c:crossBetween val="midCat"/>
      </c:valAx>
      <c:spPr>
        <a:solidFill>
          <a:sysClr val="window" lastClr="FFFFFF"/>
        </a:solidFill>
      </c:spPr>
    </c:plotArea>
    <c:plotVisOnly val="1"/>
    <c:dispBlanksAs val="zero"/>
    <c:showDLblsOverMax val="0"/>
  </c:chart>
  <c:spPr>
    <a:ln w="9525" cap="flat" cmpd="sng" algn="ctr">
      <a:solidFill>
        <a:schemeClr val="bg1">
          <a:lumMod val="95000"/>
        </a:schemeClr>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分析!$B$417</c:f>
              <c:strCache>
                <c:ptCount val="1"/>
                <c:pt idx="0">
                  <c:v>父母亲友资助</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分析!$D$417</c:f>
              <c:numCache>
                <c:formatCode>0.00%</c:formatCode>
                <c:ptCount val="1"/>
                <c:pt idx="0">
                  <c:v>0.615384615384616</c:v>
                </c:pt>
              </c:numCache>
            </c:numRef>
          </c:val>
        </c:ser>
        <c:ser>
          <c:idx val="1"/>
          <c:order val="1"/>
          <c:tx>
            <c:strRef>
              <c:f>分析!$B$418</c:f>
              <c:strCache>
                <c:ptCount val="1"/>
                <c:pt idx="0">
                  <c:v>个人赚取/个人积蓄</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分析!$D$418</c:f>
              <c:numCache>
                <c:formatCode>0.00%</c:formatCode>
                <c:ptCount val="1"/>
                <c:pt idx="0">
                  <c:v>0.256410256410256</c:v>
                </c:pt>
              </c:numCache>
            </c:numRef>
          </c:val>
        </c:ser>
        <c:ser>
          <c:idx val="2"/>
          <c:order val="2"/>
          <c:tx>
            <c:strRef>
              <c:f>分析!$B$419</c:f>
              <c:strCache>
                <c:ptCount val="1"/>
                <c:pt idx="0">
                  <c:v>大学生创业贷款</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分析!$D$419</c:f>
              <c:numCache>
                <c:formatCode>0.00%</c:formatCode>
                <c:ptCount val="1"/>
                <c:pt idx="0">
                  <c:v>0.0769230769230769</c:v>
                </c:pt>
              </c:numCache>
            </c:numRef>
          </c:val>
        </c:ser>
        <c:ser>
          <c:idx val="3"/>
          <c:order val="3"/>
          <c:tx>
            <c:strRef>
              <c:f>分析!$B$420</c:f>
              <c:strCache>
                <c:ptCount val="1"/>
                <c:pt idx="0">
                  <c:v>其他</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分析!$D$420</c:f>
              <c:numCache>
                <c:formatCode>0.00%</c:formatCode>
                <c:ptCount val="1"/>
                <c:pt idx="0">
                  <c:v>0.0256410256410257</c:v>
                </c:pt>
              </c:numCache>
            </c:numRef>
          </c:val>
        </c:ser>
        <c:ser>
          <c:idx val="4"/>
          <c:order val="4"/>
          <c:tx>
            <c:strRef>
              <c:f>分析!$B$421</c:f>
              <c:strCache>
                <c:ptCount val="1"/>
                <c:pt idx="0">
                  <c:v>银行及其他金融机构商业贷款</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分析!$D$421</c:f>
              <c:numCache>
                <c:formatCode>0.00%</c:formatCode>
                <c:ptCount val="1"/>
                <c:pt idx="0">
                  <c:v>0.0256410256410257</c:v>
                </c:pt>
              </c:numCache>
            </c:numRef>
          </c:val>
        </c:ser>
        <c:dLbls>
          <c:showLegendKey val="0"/>
          <c:showVal val="1"/>
          <c:showCatName val="0"/>
          <c:showSerName val="0"/>
          <c:showPercent val="0"/>
          <c:showBubbleSize val="0"/>
        </c:dLbls>
        <c:gapWidth val="150"/>
        <c:axId val="342952192"/>
        <c:axId val="342958080"/>
      </c:barChart>
      <c:catAx>
        <c:axId val="342952192"/>
        <c:scaling>
          <c:orientation val="minMax"/>
        </c:scaling>
        <c:delete val="1"/>
        <c:axPos val="b"/>
        <c:numFmt formatCode="General"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42958080"/>
        <c:crosses val="autoZero"/>
        <c:auto val="1"/>
        <c:lblAlgn val="ctr"/>
        <c:lblOffset val="100"/>
        <c:noMultiLvlLbl val="0"/>
      </c:catAx>
      <c:valAx>
        <c:axId val="342958080"/>
        <c:scaling>
          <c:orientation val="minMax"/>
        </c:scaling>
        <c:delete val="0"/>
        <c:axPos val="l"/>
        <c:numFmt formatCode="0.00%" sourceLinked="1"/>
        <c:majorTickMark val="out"/>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2952192"/>
        <c:crosses val="autoZero"/>
        <c:crossBetween val="between"/>
      </c:valAx>
      <c:spPr>
        <a:noFill/>
        <a:ln>
          <a:noFill/>
        </a:ln>
        <a:effectLst/>
      </c:spPr>
    </c:plotArea>
    <c:legend>
      <c:legendPos val="r"/>
      <c:layout>
        <c:manualLayout>
          <c:xMode val="edge"/>
          <c:yMode val="edge"/>
          <c:x val="0.594444444444444"/>
          <c:y val="0.178816710411199"/>
          <c:w val="0.38888888888889"/>
          <c:h val="0.79514435695538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0930555555555557"/>
          <c:y val="0.0877096092155147"/>
          <c:w val="0.906944444444445"/>
          <c:h val="0.496453047535725"/>
        </c:manualLayout>
      </c:layout>
      <c:ofPieChart>
        <c:ofPieType val="pie"/>
        <c:varyColors val="1"/>
        <c:ser>
          <c:idx val="0"/>
          <c:order val="0"/>
          <c:explosion val="0"/>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3"/>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4"/>
            <c:bubble3D val="0"/>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5"/>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6"/>
            <c:bubble3D val="0"/>
            <c:spPr>
              <a:gradFill rotWithShape="1">
                <a:gsLst>
                  <a:gs pos="0">
                    <a:schemeClr val="accent6">
                      <a:lumMod val="80000"/>
                      <a:lumOff val="20000"/>
                      <a:satMod val="103000"/>
                      <a:lumMod val="102000"/>
                      <a:tint val="94000"/>
                    </a:schemeClr>
                  </a:gs>
                  <a:gs pos="50000">
                    <a:schemeClr val="accent6">
                      <a:lumMod val="80000"/>
                      <a:lumOff val="20000"/>
                      <a:satMod val="110000"/>
                      <a:lumMod val="100000"/>
                      <a:shade val="100000"/>
                    </a:schemeClr>
                  </a:gs>
                  <a:gs pos="100000">
                    <a:schemeClr val="accent6">
                      <a:lumMod val="80000"/>
                      <a:lumOff val="20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7"/>
            <c:bubble3D val="0"/>
            <c:spPr>
              <a:gradFill rotWithShape="1">
                <a:gsLst>
                  <a:gs pos="0">
                    <a:schemeClr val="accent5">
                      <a:lumMod val="80000"/>
                      <a:lumOff val="20000"/>
                      <a:satMod val="103000"/>
                      <a:lumMod val="102000"/>
                      <a:tint val="94000"/>
                    </a:schemeClr>
                  </a:gs>
                  <a:gs pos="50000">
                    <a:schemeClr val="accent5">
                      <a:lumMod val="80000"/>
                      <a:lumOff val="20000"/>
                      <a:satMod val="110000"/>
                      <a:lumMod val="100000"/>
                      <a:shade val="100000"/>
                    </a:schemeClr>
                  </a:gs>
                  <a:gs pos="100000">
                    <a:schemeClr val="accent5">
                      <a:lumMod val="80000"/>
                      <a:lumOff val="20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8"/>
            <c:bubble3D val="0"/>
            <c:spPr>
              <a:gradFill rotWithShape="1">
                <a:gsLst>
                  <a:gs pos="0">
                    <a:schemeClr val="accent4">
                      <a:lumMod val="80000"/>
                      <a:lumOff val="20000"/>
                      <a:satMod val="103000"/>
                      <a:lumMod val="102000"/>
                      <a:tint val="94000"/>
                    </a:schemeClr>
                  </a:gs>
                  <a:gs pos="50000">
                    <a:schemeClr val="accent4">
                      <a:lumMod val="80000"/>
                      <a:lumOff val="20000"/>
                      <a:satMod val="110000"/>
                      <a:lumMod val="100000"/>
                      <a:shade val="100000"/>
                    </a:schemeClr>
                  </a:gs>
                  <a:gs pos="100000">
                    <a:schemeClr val="accent4">
                      <a:lumMod val="80000"/>
                      <a:lumOff val="20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9"/>
            <c:bubble3D val="0"/>
            <c:spPr>
              <a:gradFill rotWithShape="1">
                <a:gsLst>
                  <a:gs pos="0">
                    <a:schemeClr val="accent6">
                      <a:lumMod val="80000"/>
                      <a:satMod val="103000"/>
                      <a:lumMod val="102000"/>
                      <a:tint val="94000"/>
                    </a:schemeClr>
                  </a:gs>
                  <a:gs pos="50000">
                    <a:schemeClr val="accent6">
                      <a:lumMod val="80000"/>
                      <a:satMod val="110000"/>
                      <a:lumMod val="100000"/>
                      <a:shade val="100000"/>
                    </a:schemeClr>
                  </a:gs>
                  <a:gs pos="100000">
                    <a:schemeClr val="accent6">
                      <a:lumMod val="80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分析!$C$436:$C$444</c:f>
              <c:strCache>
                <c:ptCount val="9"/>
                <c:pt idx="0">
                  <c:v>产品服务的营销推广</c:v>
                </c:pt>
                <c:pt idx="1">
                  <c:v>社会关系缺乏</c:v>
                </c:pt>
                <c:pt idx="2">
                  <c:v>资金的筹备</c:v>
                </c:pt>
                <c:pt idx="3">
                  <c:v>创业团队组建</c:v>
                </c:pt>
                <c:pt idx="4">
                  <c:v>企业创办手续审批</c:v>
                </c:pt>
                <c:pt idx="5">
                  <c:v>创业项目的选取</c:v>
                </c:pt>
                <c:pt idx="6">
                  <c:v>办公场所等软硬件环境的准备</c:v>
                </c:pt>
                <c:pt idx="7">
                  <c:v>政策环境不利</c:v>
                </c:pt>
                <c:pt idx="8">
                  <c:v>其他</c:v>
                </c:pt>
              </c:strCache>
            </c:strRef>
          </c:cat>
          <c:val>
            <c:numRef>
              <c:f>分析!$E$436:$E$444</c:f>
              <c:numCache>
                <c:formatCode>0.00%</c:formatCode>
                <c:ptCount val="9"/>
                <c:pt idx="0">
                  <c:v>0.189873417721519</c:v>
                </c:pt>
                <c:pt idx="1">
                  <c:v>0.164556962025316</c:v>
                </c:pt>
                <c:pt idx="2">
                  <c:v>0.151898734177215</c:v>
                </c:pt>
                <c:pt idx="3">
                  <c:v>0.126582278481013</c:v>
                </c:pt>
                <c:pt idx="4">
                  <c:v>0.126582278481013</c:v>
                </c:pt>
                <c:pt idx="5">
                  <c:v>0.10126582278481</c:v>
                </c:pt>
                <c:pt idx="6">
                  <c:v>0.0632911392405063</c:v>
                </c:pt>
                <c:pt idx="7">
                  <c:v>0.0379746835443038</c:v>
                </c:pt>
                <c:pt idx="8">
                  <c:v>0.0379746835443038</c:v>
                </c:pt>
              </c:numCache>
            </c:numRef>
          </c:val>
        </c:ser>
        <c:dLbls>
          <c:showLegendKey val="0"/>
          <c:showVal val="1"/>
          <c:showCatName val="0"/>
          <c:showSerName val="0"/>
          <c:showPercent val="0"/>
          <c:showBubbleSize val="0"/>
          <c:showLeaderLines val="1"/>
        </c:dLbls>
        <c:gapWidth val="100"/>
        <c:secondPieSize val="75"/>
        <c:serLines>
          <c:spPr>
            <a:ln w="9525" cap="flat" cmpd="sng" algn="ctr">
              <a:solidFill>
                <a:schemeClr val="tx1">
                  <a:lumMod val="35000"/>
                  <a:lumOff val="65000"/>
                </a:schemeClr>
              </a:solidFill>
              <a:prstDash val="solid"/>
              <a:round/>
            </a:ln>
            <a:effectLst/>
          </c:spPr>
        </c:serLines>
      </c:ofPieChart>
      <c:spPr>
        <a:noFill/>
        <a:ln>
          <a:noFill/>
        </a:ln>
        <a:effectLst/>
      </c:spPr>
    </c:plotArea>
    <c:legend>
      <c:legendPos val="b"/>
      <c:layout>
        <c:manualLayout>
          <c:xMode val="edge"/>
          <c:yMode val="edge"/>
          <c:x val="0.147537401574803"/>
          <c:y val="0.588538932633421"/>
          <c:w val="0.846591863517061"/>
          <c:h val="0.38368328958880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explosion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dLbl>
              <c:idx val="0"/>
              <c:layout>
                <c:manualLayout>
                  <c:x val="-0.293978565179353"/>
                  <c:y val="-0.278298884514436"/>
                </c:manualLayout>
              </c:layout>
              <c:tx>
                <c:rich>
                  <a:bodyPr rot="0" spcFirstLastPara="1" vertOverflow="ellipsis" vert="horz" wrap="square" lIns="38100" tIns="19050" rIns="38100" bIns="19050" anchor="ctr" anchorCtr="1">
                    <a:noAutofit/>
                  </a:bodyPr>
                  <a:lstStyle/>
                  <a:p>
                    <a:fld id="{317111a4-b479-4890-816f-7e607fa9b3b0}" type="VALUE">
                      <a:t>[VALUE]</a:t>
                    </a:fld>
                    <a:endParaRPr b="0" i="0" u="none" strike="noStrike" baseline="0">
                      <a:latin typeface="Times New Roman" panose="02020603050405020304" charset="0"/>
                      <a:ea typeface="Times New Roman" panose="02020603050405020304" charset="0"/>
                      <a:cs typeface="+mn-ea"/>
                    </a:endParaRPr>
                  </a:p>
                </c:rich>
              </c:tx>
              <c:numFmt formatCode="General" sourceLinked="1"/>
              <c:spPr>
                <a:noFill/>
                <a:ln>
                  <a:noFill/>
                </a:ln>
                <a:effectLst/>
              </c:spPr>
              <c:txPr>
                <a:bodyPr rot="0" spcFirstLastPara="1" vertOverflow="ellipsis" vert="horz" wrap="square" lIns="38100" tIns="19050" rIns="38100" bIns="19050" anchor="ctr" anchorCtr="1">
                  <a:noAutofit/>
                </a:bodyPr>
                <a:lstStyle/>
                <a:p>
                  <a:pPr>
                    <a:defRPr lang="zh-CN" sz="1000" b="0" i="0" u="none" strike="noStrike" kern="1200" baseline="0">
                      <a:solidFill>
                        <a:schemeClr val="tx1"/>
                      </a:solidFill>
                      <a:latin typeface="+mn-ea"/>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manualLayout>
                      <c:w val="0.253972222222222"/>
                      <c:h val="0.148078885972587"/>
                    </c:manualLayout>
                  </c15:layout>
                </c:ext>
              </c:extLst>
            </c:dLbl>
            <c:dLbl>
              <c:idx val="1"/>
              <c:layout>
                <c:manualLayout>
                  <c:x val="0.144933508311461"/>
                  <c:y val="0.113079615048119"/>
                </c:manualLayout>
              </c:layout>
              <c:tx>
                <c:rich>
                  <a:bodyPr rot="0" spcFirstLastPara="1" vertOverflow="ellipsis" vert="horz" wrap="square" lIns="38100" tIns="19050" rIns="38100" bIns="19050" anchor="ctr" anchorCtr="1">
                    <a:spAutoFit/>
                  </a:bodyPr>
                  <a:lstStyle/>
                  <a:p>
                    <a:fld id="{44a80621-6b5f-4a84-b2b0-159f962c5514}" type="VALUE">
                      <a:t>[VALUE]</a:t>
                    </a:fld>
                    <a:endParaRPr b="0" i="0" u="none" strike="noStrike" baseline="0">
                      <a:latin typeface="Times New Roman" panose="02020603050405020304" charset="0"/>
                      <a:ea typeface="Times New Roman" panose="02020603050405020304" charset="0"/>
                      <a:cs typeface="+mn-ea"/>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solidFill>
                      <a:latin typeface="+mn-ea"/>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'2017届数据'!$K$87:$K$88</c:f>
              <c:strCache>
                <c:ptCount val="2"/>
                <c:pt idx="0">
                  <c:v>汉族</c:v>
                </c:pt>
                <c:pt idx="1">
                  <c:v>少数民族</c:v>
                </c:pt>
              </c:strCache>
            </c:strRef>
          </c:cat>
          <c:val>
            <c:numRef>
              <c:f>'2017届数据'!$M$87:$M$88</c:f>
              <c:numCache>
                <c:formatCode>0.00%</c:formatCode>
                <c:ptCount val="2"/>
                <c:pt idx="0">
                  <c:v>0.813297714455328</c:v>
                </c:pt>
                <c:pt idx="1">
                  <c:v>0.186702285544672</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分析!$D$458:$D$463</c:f>
              <c:strCache>
                <c:ptCount val="6"/>
                <c:pt idx="0">
                  <c:v>到社会中历练</c:v>
                </c:pt>
                <c:pt idx="1">
                  <c:v>向成功创业者学习</c:v>
                </c:pt>
                <c:pt idx="2">
                  <c:v>多和朋友沟通，整合身边资源</c:v>
                </c:pt>
                <c:pt idx="3">
                  <c:v>学习创业课程</c:v>
                </c:pt>
                <c:pt idx="4">
                  <c:v>上网浏览信息，寻找创业机会</c:v>
                </c:pt>
                <c:pt idx="5">
                  <c:v>研读创业书籍</c:v>
                </c:pt>
              </c:strCache>
            </c:strRef>
          </c:cat>
          <c:val>
            <c:numRef>
              <c:f>分析!$F$458:$F$463</c:f>
              <c:numCache>
                <c:formatCode>0.00%</c:formatCode>
                <c:ptCount val="6"/>
                <c:pt idx="0">
                  <c:v>0.255813953488372</c:v>
                </c:pt>
                <c:pt idx="1">
                  <c:v>0.209302325581396</c:v>
                </c:pt>
                <c:pt idx="2">
                  <c:v>0.209302325581396</c:v>
                </c:pt>
                <c:pt idx="3">
                  <c:v>0.162790697674419</c:v>
                </c:pt>
                <c:pt idx="4">
                  <c:v>0.0930232558139535</c:v>
                </c:pt>
                <c:pt idx="5">
                  <c:v>0.0697674418604652</c:v>
                </c:pt>
              </c:numCache>
            </c:numRef>
          </c:val>
        </c:ser>
        <c:dLbls>
          <c:showLegendKey val="0"/>
          <c:showVal val="1"/>
          <c:showCatName val="0"/>
          <c:showSerName val="0"/>
          <c:showPercent val="0"/>
          <c:showBubbleSize val="0"/>
        </c:dLbls>
        <c:gapWidth val="150"/>
        <c:overlap val="100"/>
        <c:axId val="343009920"/>
        <c:axId val="348574080"/>
      </c:barChart>
      <c:catAx>
        <c:axId val="343009920"/>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8574080"/>
        <c:crosses val="autoZero"/>
        <c:auto val="1"/>
        <c:lblAlgn val="ctr"/>
        <c:lblOffset val="100"/>
        <c:noMultiLvlLbl val="0"/>
      </c:catAx>
      <c:valAx>
        <c:axId val="348574080"/>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009920"/>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0616458880139982"/>
          <c:y val="0.0648148148148149"/>
          <c:w val="0.877930446194226"/>
          <c:h val="0.841674686497522"/>
        </c:manualLayout>
      </c:layout>
      <c:barChart>
        <c:barDir val="bar"/>
        <c:grouping val="stacked"/>
        <c:varyColors val="0"/>
        <c:ser>
          <c:idx val="0"/>
          <c:order val="0"/>
          <c:tx>
            <c:strRef>
              <c:f>分析!$C$474</c:f>
              <c:strCache>
                <c:ptCount val="1"/>
                <c:pt idx="0">
                  <c:v>提升综合能力</c:v>
                </c:pt>
              </c:strCache>
            </c:strRef>
          </c:tx>
          <c:spPr>
            <a:blipFill>
              <a:blip xmlns:r="http://schemas.openxmlformats.org/officeDocument/2006/relationships" r:embed="rId3"/>
              <a:stretch>
                <a:fillRect/>
              </a:stretch>
            </a:blip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ctr"/>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分析!$E$474</c:f>
              <c:numCache>
                <c:formatCode>0.00%</c:formatCode>
                <c:ptCount val="1"/>
                <c:pt idx="0">
                  <c:v>0.441176470588235</c:v>
                </c:pt>
              </c:numCache>
            </c:numRef>
          </c:val>
        </c:ser>
        <c:ser>
          <c:idx val="1"/>
          <c:order val="1"/>
          <c:tx>
            <c:strRef>
              <c:f>分析!$C$475</c:f>
              <c:strCache>
                <c:ptCount val="1"/>
                <c:pt idx="0">
                  <c:v>对专业感兴趣</c:v>
                </c:pt>
              </c:strCache>
            </c:strRef>
          </c:tx>
          <c:spPr>
            <a:blipFill>
              <a:blip xmlns:r="http://schemas.openxmlformats.org/officeDocument/2006/relationships" r:embed="rId4"/>
              <a:stretch>
                <a:fillRect/>
              </a:stretch>
            </a:blipFill>
            <a:ln>
              <a:noFill/>
            </a:ln>
            <a:effectLst/>
          </c:spPr>
          <c:invertIfNegative val="0"/>
          <c:dLbls>
            <c:dLbl>
              <c:idx val="0"/>
              <c:layout>
                <c:manualLayout>
                  <c:x val="-0.0277777777777779"/>
                  <c:y val="0"/>
                </c:manualLayout>
              </c:layout>
              <c:dLblPos val="ctr"/>
              <c:showLegendKey val="0"/>
              <c:showVal val="1"/>
              <c:showCatName val="0"/>
              <c:showSerName val="1"/>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ctr"/>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分析!$E$475</c:f>
              <c:numCache>
                <c:formatCode>0.00%</c:formatCode>
                <c:ptCount val="1"/>
                <c:pt idx="0">
                  <c:v>0.382352941176471</c:v>
                </c:pt>
              </c:numCache>
            </c:numRef>
          </c:val>
        </c:ser>
        <c:ser>
          <c:idx val="2"/>
          <c:order val="2"/>
          <c:tx>
            <c:strRef>
              <c:f>分析!$C$476</c:f>
              <c:strCache>
                <c:ptCount val="1"/>
                <c:pt idx="0">
                  <c:v>延缓就业压力</c:v>
                </c:pt>
              </c:strCache>
            </c:strRef>
          </c:tx>
          <c:spPr>
            <a:blipFill>
              <a:blip xmlns:r="http://schemas.openxmlformats.org/officeDocument/2006/relationships" r:embed="rId5"/>
              <a:stretch>
                <a:fillRect/>
              </a:stretch>
            </a:blipFill>
            <a:ln>
              <a:noFill/>
            </a:ln>
            <a:effectLst/>
          </c:spPr>
          <c:invertIfNegative val="0"/>
          <c:dLbls>
            <c:dLbl>
              <c:idx val="0"/>
              <c:layout>
                <c:manualLayout>
                  <c:x val="-0.0111111111111112"/>
                  <c:y val="0.00925925925925918"/>
                </c:manualLayout>
              </c:layout>
              <c:dLblPos val="ctr"/>
              <c:showLegendKey val="0"/>
              <c:showVal val="1"/>
              <c:showCatName val="0"/>
              <c:showSerName val="1"/>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ctr"/>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分析!$E$476</c:f>
              <c:numCache>
                <c:formatCode>0.00%</c:formatCode>
                <c:ptCount val="1"/>
                <c:pt idx="0">
                  <c:v>0.147058823529412</c:v>
                </c:pt>
              </c:numCache>
            </c:numRef>
          </c:val>
        </c:ser>
        <c:ser>
          <c:idx val="3"/>
          <c:order val="3"/>
          <c:tx>
            <c:strRef>
              <c:f>分析!$C$477</c:f>
              <c:strCache>
                <c:ptCount val="1"/>
                <c:pt idx="0">
                  <c:v>其他</c:v>
                </c:pt>
              </c:strCache>
            </c:strRef>
          </c:tx>
          <c:spPr>
            <a:blipFill>
              <a:blip xmlns:r="http://schemas.openxmlformats.org/officeDocument/2006/relationships" r:embed="rId6"/>
              <a:stretch>
                <a:fillRect/>
              </a:stretch>
            </a:blipFill>
            <a:ln>
              <a:noFill/>
            </a:ln>
            <a:effectLst/>
          </c:spPr>
          <c:invertIfNegative val="0"/>
          <c:dLbls>
            <c:dLbl>
              <c:idx val="0"/>
              <c:layout>
                <c:manualLayout>
                  <c:x val="0.0805555555555557"/>
                  <c:y val="-0.0231481481481481"/>
                </c:manualLayout>
              </c:layout>
              <c:dLblPos val="ctr"/>
              <c:showLegendKey val="0"/>
              <c:showVal val="1"/>
              <c:showCatName val="0"/>
              <c:showSerName val="1"/>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ctr"/>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分析!$E$477</c:f>
              <c:numCache>
                <c:formatCode>0.00%</c:formatCode>
                <c:ptCount val="1"/>
                <c:pt idx="0">
                  <c:v>0.0294117647058824</c:v>
                </c:pt>
              </c:numCache>
            </c:numRef>
          </c:val>
        </c:ser>
        <c:dLbls>
          <c:showLegendKey val="0"/>
          <c:showVal val="1"/>
          <c:showCatName val="0"/>
          <c:showSerName val="1"/>
          <c:showPercent val="0"/>
          <c:showBubbleSize val="0"/>
        </c:dLbls>
        <c:gapWidth val="260"/>
        <c:overlap val="100"/>
        <c:axId val="348632960"/>
        <c:axId val="348634496"/>
      </c:barChart>
      <c:catAx>
        <c:axId val="348632960"/>
        <c:scaling>
          <c:orientation val="minMax"/>
        </c:scaling>
        <c:delete val="1"/>
        <c:axPos val="l"/>
        <c:numFmt formatCode="General"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48634496"/>
        <c:crosses val="autoZero"/>
        <c:auto val="1"/>
        <c:lblAlgn val="ctr"/>
        <c:lblOffset val="100"/>
        <c:noMultiLvlLbl val="0"/>
      </c:catAx>
      <c:valAx>
        <c:axId val="348634496"/>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8632960"/>
        <c:crosses val="autoZero"/>
        <c:crossBetween val="between"/>
      </c:valAx>
      <c:spPr>
        <a:noFill/>
        <a:ln w="19050">
          <a:solidFill>
            <a:srgbClr val="00B0F0"/>
          </a:solidFill>
          <a:prstDash val="sysDot"/>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分析!$B$497:$B$503</c:f>
              <c:strCache>
                <c:ptCount val="7"/>
                <c:pt idx="0">
                  <c:v>正在择业尚未落实就业单位</c:v>
                </c:pt>
                <c:pt idx="1">
                  <c:v>在等待单位签约</c:v>
                </c:pt>
                <c:pt idx="2">
                  <c:v>在准备公务员、事业单位等各类招考</c:v>
                </c:pt>
                <c:pt idx="3">
                  <c:v>在准备升学考试</c:v>
                </c:pt>
                <c:pt idx="4">
                  <c:v>暂时不就业</c:v>
                </c:pt>
                <c:pt idx="5">
                  <c:v>在准备出国</c:v>
                </c:pt>
                <c:pt idx="6">
                  <c:v>准备创业</c:v>
                </c:pt>
              </c:strCache>
            </c:strRef>
          </c:cat>
          <c:val>
            <c:numRef>
              <c:f>分析!$D$497:$D$503</c:f>
              <c:numCache>
                <c:formatCode>0.00%</c:formatCode>
                <c:ptCount val="7"/>
                <c:pt idx="0">
                  <c:v>0.5</c:v>
                </c:pt>
                <c:pt idx="1">
                  <c:v>0.206349206349206</c:v>
                </c:pt>
                <c:pt idx="2">
                  <c:v>0.126984126984127</c:v>
                </c:pt>
                <c:pt idx="3">
                  <c:v>0.0634920634920635</c:v>
                </c:pt>
                <c:pt idx="4">
                  <c:v>0.0476190476190476</c:v>
                </c:pt>
                <c:pt idx="5">
                  <c:v>0.0396825396825397</c:v>
                </c:pt>
                <c:pt idx="6">
                  <c:v>0.0158730158730159</c:v>
                </c:pt>
              </c:numCache>
            </c:numRef>
          </c:val>
        </c:ser>
        <c:dLbls>
          <c:showLegendKey val="0"/>
          <c:showVal val="1"/>
          <c:showCatName val="0"/>
          <c:showSerName val="0"/>
          <c:showPercent val="0"/>
          <c:showBubbleSize val="0"/>
        </c:dLbls>
        <c:gapWidth val="182"/>
        <c:axId val="216628224"/>
        <c:axId val="348582656"/>
      </c:barChart>
      <c:catAx>
        <c:axId val="216628224"/>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8582656"/>
        <c:crosses val="autoZero"/>
        <c:auto val="1"/>
        <c:lblAlgn val="ctr"/>
        <c:lblOffset val="100"/>
        <c:noMultiLvlLbl val="0"/>
      </c:catAx>
      <c:valAx>
        <c:axId val="348582656"/>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6628224"/>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spPr>
            <a:ln w="22225" cap="rnd" cmpd="sng" algn="ctr">
              <a:solidFill>
                <a:schemeClr val="accent1"/>
              </a:solidFill>
              <a:prstDash val="solid"/>
              <a:round/>
            </a:ln>
            <a:effectLst/>
          </c:spPr>
          <c:marker>
            <c:symbol val="diamond"/>
            <c:size val="6"/>
            <c:spPr>
              <a:solidFill>
                <a:srgbClr val="FFFF00"/>
              </a:solidFill>
              <a:ln w="9525" cap="flat" cmpd="sng" algn="ctr">
                <a:solidFill>
                  <a:schemeClr val="accent1"/>
                </a:solidFill>
                <a:prstDash val="solid"/>
                <a:round/>
              </a:ln>
              <a:effectLst/>
            </c:spPr>
          </c:marker>
          <c:dLbls>
            <c:dLbl>
              <c:idx val="5"/>
              <c:layout>
                <c:manualLayout>
                  <c:x val="-0.0111111111111111"/>
                  <c:y val="-0.0046296296296297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111111111111111"/>
                  <c:y val="0"/>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0833333333333344"/>
                  <c:y val="-0.013888888888889"/>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0138888888888889"/>
                  <c:y val="-0.0277777777777778"/>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分析!$C$516:$C$525</c:f>
              <c:strCache>
                <c:ptCount val="10"/>
                <c:pt idx="0">
                  <c:v>工作待遇</c:v>
                </c:pt>
                <c:pt idx="1">
                  <c:v>工作稳定性</c:v>
                </c:pt>
                <c:pt idx="2">
                  <c:v>个人发展空间</c:v>
                </c:pt>
                <c:pt idx="3">
                  <c:v>工作环境</c:v>
                </c:pt>
                <c:pt idx="4">
                  <c:v>单位发展前景</c:v>
                </c:pt>
                <c:pt idx="5">
                  <c:v>个人理想职业</c:v>
                </c:pt>
                <c:pt idx="6">
                  <c:v>工作压力</c:v>
                </c:pt>
                <c:pt idx="7">
                  <c:v>单位培训</c:v>
                </c:pt>
                <c:pt idx="8">
                  <c:v>单位的社会声望</c:v>
                </c:pt>
                <c:pt idx="9">
                  <c:v>其他</c:v>
                </c:pt>
              </c:strCache>
            </c:strRef>
          </c:cat>
          <c:val>
            <c:numRef>
              <c:f>分析!$E$516:$E$525</c:f>
              <c:numCache>
                <c:formatCode>0.00%</c:formatCode>
                <c:ptCount val="10"/>
                <c:pt idx="0">
                  <c:v>0.258064516129032</c:v>
                </c:pt>
                <c:pt idx="1">
                  <c:v>0.225806451612903</c:v>
                </c:pt>
                <c:pt idx="2">
                  <c:v>0.185483870967742</c:v>
                </c:pt>
                <c:pt idx="3">
                  <c:v>0.161290322580645</c:v>
                </c:pt>
                <c:pt idx="4">
                  <c:v>0.060483870967742</c:v>
                </c:pt>
                <c:pt idx="5">
                  <c:v>0.0362903225806452</c:v>
                </c:pt>
                <c:pt idx="6">
                  <c:v>0.0322580645161291</c:v>
                </c:pt>
                <c:pt idx="7">
                  <c:v>0.0201612903225806</c:v>
                </c:pt>
                <c:pt idx="8">
                  <c:v>0.0120967741935484</c:v>
                </c:pt>
                <c:pt idx="9">
                  <c:v>0.00806451612903227</c:v>
                </c:pt>
              </c:numCache>
            </c:numRef>
          </c:val>
          <c:smooth val="0"/>
        </c:ser>
        <c:dLbls>
          <c:showLegendKey val="0"/>
          <c:showVal val="1"/>
          <c:showCatName val="0"/>
          <c:showSerName val="0"/>
          <c:showPercent val="0"/>
          <c:showBubbleSize val="0"/>
        </c:dLbls>
        <c:marker val="1"/>
        <c:smooth val="0"/>
        <c:axId val="348715264"/>
        <c:axId val="348717056"/>
      </c:lineChart>
      <c:catAx>
        <c:axId val="348715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ysClr val="windowText" lastClr="000000"/>
                </a:solidFill>
                <a:latin typeface="+mn-lt"/>
                <a:ea typeface="+mn-ea"/>
                <a:cs typeface="+mn-cs"/>
              </a:defRPr>
            </a:pPr>
          </a:p>
        </c:txPr>
        <c:crossAx val="348717056"/>
        <c:crosses val="autoZero"/>
        <c:auto val="1"/>
        <c:lblAlgn val="ctr"/>
        <c:lblOffset val="100"/>
        <c:noMultiLvlLbl val="0"/>
      </c:catAx>
      <c:valAx>
        <c:axId val="348717056"/>
        <c:scaling>
          <c:orientation val="minMax"/>
        </c:scaling>
        <c:delete val="0"/>
        <c:axPos val="l"/>
        <c:numFmt formatCode="0.00%"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8715264"/>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87521653543307"/>
          <c:y val="0.0651399825021872"/>
          <c:w val="0.499956692913386"/>
          <c:h val="0.833261154855643"/>
        </c:manualLayout>
      </c:layout>
      <c:doughnut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dLbl>
              <c:idx val="2"/>
              <c:layout>
                <c:manualLayout>
                  <c:x val="-0.0277777777777779"/>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194444444444445"/>
                  <c:y val="-0.0138888888888889"/>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0.0416666666666667"/>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分析!$D$540:$D$544</c:f>
              <c:strCache>
                <c:ptCount val="5"/>
                <c:pt idx="0">
                  <c:v>0家</c:v>
                </c:pt>
                <c:pt idx="1">
                  <c:v>1-3家</c:v>
                </c:pt>
                <c:pt idx="2">
                  <c:v>4-6家</c:v>
                </c:pt>
                <c:pt idx="3">
                  <c:v>7-9家</c:v>
                </c:pt>
                <c:pt idx="4">
                  <c:v>12家以上</c:v>
                </c:pt>
              </c:strCache>
            </c:strRef>
          </c:cat>
          <c:val>
            <c:numRef>
              <c:f>分析!$F$540:$F$544</c:f>
              <c:numCache>
                <c:formatCode>0.00%</c:formatCode>
                <c:ptCount val="5"/>
                <c:pt idx="0">
                  <c:v>0.134831460674157</c:v>
                </c:pt>
                <c:pt idx="1">
                  <c:v>0.640449438202248</c:v>
                </c:pt>
                <c:pt idx="2">
                  <c:v>0.134831460674157</c:v>
                </c:pt>
                <c:pt idx="3">
                  <c:v>0.0674157303370787</c:v>
                </c:pt>
                <c:pt idx="4">
                  <c:v>0.0224719101123596</c:v>
                </c:pt>
              </c:numCache>
            </c:numRef>
          </c:val>
        </c:ser>
        <c:dLbls>
          <c:showLegendKey val="0"/>
          <c:showVal val="1"/>
          <c:showCatName val="0"/>
          <c:showSerName val="0"/>
          <c:showPercent val="0"/>
          <c:showBubbleSize val="0"/>
          <c:showLeaderLines val="1"/>
        </c:dLbls>
        <c:firstSliceAng val="0"/>
        <c:holeSize val="75"/>
      </c:doughnut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分析!$C$557</c:f>
              <c:strCache>
                <c:ptCount val="1"/>
                <c:pt idx="0">
                  <c:v>缺乏就业实践经验</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分析!$E$557</c:f>
              <c:numCache>
                <c:formatCode>0.00%</c:formatCode>
                <c:ptCount val="1"/>
                <c:pt idx="0">
                  <c:v>0.206185567010309</c:v>
                </c:pt>
              </c:numCache>
            </c:numRef>
          </c:val>
        </c:ser>
        <c:ser>
          <c:idx val="1"/>
          <c:order val="1"/>
          <c:tx>
            <c:strRef>
              <c:f>分析!$C$558</c:f>
              <c:strCache>
                <c:ptCount val="1"/>
                <c:pt idx="0">
                  <c:v>获取招聘信息的渠道太少    </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分析!$E$558</c:f>
              <c:numCache>
                <c:formatCode>0.00%</c:formatCode>
                <c:ptCount val="1"/>
                <c:pt idx="0">
                  <c:v>0.195876288659794</c:v>
                </c:pt>
              </c:numCache>
            </c:numRef>
          </c:val>
        </c:ser>
        <c:ser>
          <c:idx val="2"/>
          <c:order val="2"/>
          <c:tx>
            <c:strRef>
              <c:f>分析!$C$559</c:f>
              <c:strCache>
                <c:ptCount val="1"/>
                <c:pt idx="0">
                  <c:v>待遇和条件不符合预期    </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分析!$E$559</c:f>
              <c:numCache>
                <c:formatCode>0.00%</c:formatCode>
                <c:ptCount val="1"/>
                <c:pt idx="0">
                  <c:v>0.15979381443299</c:v>
                </c:pt>
              </c:numCache>
            </c:numRef>
          </c:val>
        </c:ser>
        <c:ser>
          <c:idx val="3"/>
          <c:order val="3"/>
          <c:tx>
            <c:strRef>
              <c:f>分析!$C$560</c:f>
              <c:strCache>
                <c:ptCount val="1"/>
                <c:pt idx="0">
                  <c:v>专业对口岗位少</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分析!$E$560</c:f>
              <c:numCache>
                <c:formatCode>0.00%</c:formatCode>
                <c:ptCount val="1"/>
                <c:pt idx="0">
                  <c:v>0.103092783505155</c:v>
                </c:pt>
              </c:numCache>
            </c:numRef>
          </c:val>
        </c:ser>
        <c:ser>
          <c:idx val="4"/>
          <c:order val="4"/>
          <c:tx>
            <c:strRef>
              <c:f>分析!$C$561</c:f>
              <c:strCache>
                <c:ptCount val="1"/>
                <c:pt idx="0">
                  <c:v>社会关系缺乏</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分析!$E$561</c:f>
              <c:numCache>
                <c:formatCode>0.00%</c:formatCode>
                <c:ptCount val="1"/>
                <c:pt idx="0">
                  <c:v>0.103092783505155</c:v>
                </c:pt>
              </c:numCache>
            </c:numRef>
          </c:val>
        </c:ser>
        <c:ser>
          <c:idx val="5"/>
          <c:order val="5"/>
          <c:tx>
            <c:strRef>
              <c:f>分析!$C$562</c:f>
              <c:strCache>
                <c:ptCount val="1"/>
                <c:pt idx="0">
                  <c:v>求职方法技巧缺乏</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分析!$E$562</c:f>
              <c:numCache>
                <c:formatCode>0.00%</c:formatCode>
                <c:ptCount val="1"/>
                <c:pt idx="0">
                  <c:v>0.103092783505155</c:v>
                </c:pt>
              </c:numCache>
            </c:numRef>
          </c:val>
        </c:ser>
        <c:ser>
          <c:idx val="6"/>
          <c:order val="6"/>
          <c:tx>
            <c:strRef>
              <c:f>分析!$C$563</c:f>
              <c:strCache>
                <c:ptCount val="1"/>
                <c:pt idx="0">
                  <c:v>其他</c:v>
                </c:pt>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分析!$E$563</c:f>
              <c:numCache>
                <c:formatCode>0.00%</c:formatCode>
                <c:ptCount val="1"/>
                <c:pt idx="0">
                  <c:v>0.097938144329897</c:v>
                </c:pt>
              </c:numCache>
            </c:numRef>
          </c:val>
        </c:ser>
        <c:ser>
          <c:idx val="7"/>
          <c:order val="7"/>
          <c:tx>
            <c:strRef>
              <c:f>分析!$C$564</c:f>
              <c:strCache>
                <c:ptCount val="1"/>
                <c:pt idx="0">
                  <c:v>就业歧视</c:v>
                </c:pt>
              </c:strCache>
            </c:strRef>
          </c:tx>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分析!$E$564</c:f>
              <c:numCache>
                <c:formatCode>0.00%</c:formatCode>
                <c:ptCount val="1"/>
                <c:pt idx="0">
                  <c:v>0.0309278350515464</c:v>
                </c:pt>
              </c:numCache>
            </c:numRef>
          </c:val>
        </c:ser>
        <c:dLbls>
          <c:showLegendKey val="0"/>
          <c:showVal val="1"/>
          <c:showCatName val="0"/>
          <c:showSerName val="0"/>
          <c:showPercent val="0"/>
          <c:showBubbleSize val="0"/>
        </c:dLbls>
        <c:gapWidth val="75"/>
        <c:overlap val="-25"/>
        <c:axId val="348879104"/>
        <c:axId val="348905472"/>
      </c:barChart>
      <c:catAx>
        <c:axId val="348879104"/>
        <c:scaling>
          <c:orientation val="minMax"/>
        </c:scaling>
        <c:delete val="1"/>
        <c:axPos val="b"/>
        <c:numFmt formatCode="General"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48905472"/>
        <c:crosses val="autoZero"/>
        <c:auto val="1"/>
        <c:lblAlgn val="ctr"/>
        <c:lblOffset val="100"/>
        <c:noMultiLvlLbl val="0"/>
      </c:catAx>
      <c:valAx>
        <c:axId val="348905472"/>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887910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blipFill>
              <a:blip xmlns:r="http://schemas.openxmlformats.org/officeDocument/2006/relationships" r:embed="rId3"/>
              <a:stretch>
                <a:fillRect/>
              </a:stretch>
            </a:blipFill>
            <a:ln>
              <a:noFill/>
            </a:ln>
            <a:effectLst/>
          </c:spPr>
          <c:invertIfNegative val="0"/>
          <c:dPt>
            <c:idx val="1"/>
            <c:invertIfNegative val="0"/>
            <c:bubble3D val="0"/>
            <c:spPr>
              <a:blipFill>
                <a:blip xmlns:r="http://schemas.openxmlformats.org/officeDocument/2006/relationships" r:embed="rId4"/>
                <a:stretch>
                  <a:fillRect/>
                </a:stretch>
              </a:blipFill>
              <a:ln>
                <a:noFill/>
              </a:ln>
              <a:effectLst/>
            </c:spPr>
          </c:dPt>
          <c:dPt>
            <c:idx val="2"/>
            <c:invertIfNegative val="0"/>
            <c:bubble3D val="0"/>
            <c:spPr>
              <a:blipFill>
                <a:blip xmlns:r="http://schemas.openxmlformats.org/officeDocument/2006/relationships" r:embed="rId5"/>
                <a:stretch>
                  <a:fillRect/>
                </a:stretch>
              </a:blipFill>
              <a:ln>
                <a:noFill/>
              </a:ln>
              <a:effectLst/>
            </c:spPr>
          </c:dPt>
          <c:dPt>
            <c:idx val="3"/>
            <c:invertIfNegative val="0"/>
            <c:bubble3D val="0"/>
            <c:spPr>
              <a:blipFill>
                <a:blip xmlns:r="http://schemas.openxmlformats.org/officeDocument/2006/relationships" r:embed="rId6"/>
                <a:stretch>
                  <a:fillRect/>
                </a:stretch>
              </a:blipFill>
              <a:ln>
                <a:noFill/>
              </a:ln>
              <a:effectLst/>
            </c:spPr>
          </c:dPt>
          <c:dPt>
            <c:idx val="4"/>
            <c:invertIfNegative val="0"/>
            <c:bubble3D val="0"/>
            <c:spPr>
              <a:blipFill>
                <a:blip xmlns:r="http://schemas.openxmlformats.org/officeDocument/2006/relationships" r:embed="rId7"/>
                <a:stretch>
                  <a:fillRect/>
                </a:stretch>
              </a:blipFill>
              <a:ln>
                <a:noFill/>
              </a:ln>
              <a:effectLst/>
            </c:spPr>
          </c:dPt>
          <c:dPt>
            <c:idx val="5"/>
            <c:invertIfNegative val="0"/>
            <c:bubble3D val="0"/>
            <c:spPr>
              <a:blipFill>
                <a:blip xmlns:r="http://schemas.openxmlformats.org/officeDocument/2006/relationships" r:embed="rId8"/>
                <a:stretch>
                  <a:fillRect/>
                </a:stretch>
              </a:blip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65000"/>
                        <a:lumOff val="3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分析!$B$582:$B$587</c:f>
              <c:strCache>
                <c:ptCount val="6"/>
                <c:pt idx="0">
                  <c:v>求职技巧培训</c:v>
                </c:pt>
                <c:pt idx="1">
                  <c:v>增加职位信息</c:v>
                </c:pt>
                <c:pt idx="2">
                  <c:v>其他</c:v>
                </c:pt>
                <c:pt idx="3">
                  <c:v>求职补贴</c:v>
                </c:pt>
                <c:pt idx="4">
                  <c:v>政策帮扶</c:v>
                </c:pt>
                <c:pt idx="5">
                  <c:v>求职心理辅导</c:v>
                </c:pt>
              </c:strCache>
            </c:strRef>
          </c:cat>
          <c:val>
            <c:numRef>
              <c:f>分析!$D$582:$D$587</c:f>
              <c:numCache>
                <c:formatCode>0.00%</c:formatCode>
                <c:ptCount val="6"/>
                <c:pt idx="0">
                  <c:v>0.280898876404495</c:v>
                </c:pt>
                <c:pt idx="1">
                  <c:v>0.235955056179775</c:v>
                </c:pt>
                <c:pt idx="2">
                  <c:v>0.191011235955056</c:v>
                </c:pt>
                <c:pt idx="3">
                  <c:v>0.157303370786517</c:v>
                </c:pt>
                <c:pt idx="4">
                  <c:v>0.112359550561798</c:v>
                </c:pt>
                <c:pt idx="5">
                  <c:v>0.0224719101123596</c:v>
                </c:pt>
              </c:numCache>
            </c:numRef>
          </c:val>
        </c:ser>
        <c:dLbls>
          <c:showLegendKey val="0"/>
          <c:showVal val="1"/>
          <c:showCatName val="0"/>
          <c:showSerName val="0"/>
          <c:showPercent val="0"/>
          <c:showBubbleSize val="0"/>
        </c:dLbls>
        <c:gapWidth val="0"/>
        <c:overlap val="100"/>
        <c:axId val="348786688"/>
        <c:axId val="348788224"/>
      </c:barChart>
      <c:catAx>
        <c:axId val="348786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幼圆" panose="02010509060101010101" pitchFamily="1" charset="-122"/>
                <a:ea typeface="幼圆" panose="02010509060101010101" pitchFamily="1" charset="-122"/>
                <a:cs typeface="+mn-cs"/>
              </a:defRPr>
            </a:pPr>
          </a:p>
        </c:txPr>
        <c:crossAx val="348788224"/>
        <c:crosses val="autoZero"/>
        <c:auto val="1"/>
        <c:lblAlgn val="ctr"/>
        <c:lblOffset val="100"/>
        <c:noMultiLvlLbl val="0"/>
      </c:catAx>
      <c:valAx>
        <c:axId val="348788224"/>
        <c:scaling>
          <c:orientation val="minMax"/>
        </c:scaling>
        <c:delete val="1"/>
        <c:axPos val="l"/>
        <c:numFmt formatCode="0.00%"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487866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6939632545932"/>
          <c:y val="0.0462962962962963"/>
          <c:w val="0.735081146106737"/>
          <c:h val="0.846304316127151"/>
        </c:manualLayout>
      </c:layout>
      <c:barChart>
        <c:barDir val="bar"/>
        <c:grouping val="clustered"/>
        <c:varyColors val="0"/>
        <c:ser>
          <c:idx val="0"/>
          <c:order val="0"/>
          <c:spPr>
            <a:solidFill>
              <a:srgbClr val="00B0F0"/>
            </a:solidFill>
            <a:ln>
              <a:noFill/>
            </a:ln>
            <a:effectLst>
              <a:outerShdw blurRad="57150" dist="19050" dir="5400000" algn="ctr" rotWithShape="0">
                <a:srgbClr val="000000">
                  <a:alpha val="63000"/>
                </a:srgbClr>
              </a:outerShdw>
            </a:effectLst>
          </c:spPr>
          <c:invertIfNegative val="0"/>
          <c:dPt>
            <c:idx val="5"/>
            <c:invertIfNegative val="0"/>
            <c:bubble3D val="0"/>
            <c:spPr>
              <a:solidFill>
                <a:schemeClr val="accent2"/>
              </a:solidFill>
              <a:ln>
                <a:noFill/>
              </a:ln>
              <a:effectLst>
                <a:outerShdw blurRad="57150" dist="19050" dir="5400000" algn="ctr" rotWithShape="0">
                  <a:srgbClr val="000000">
                    <a:alpha val="63000"/>
                  </a:srgbClr>
                </a:outerShdw>
              </a:effectLst>
            </c:spPr>
          </c:dPt>
          <c:dPt>
            <c:idx val="6"/>
            <c:invertIfNegative val="0"/>
            <c:bubble3D val="0"/>
            <c:spPr>
              <a:solidFill>
                <a:schemeClr val="accent2"/>
              </a:solidFill>
              <a:ln>
                <a:noFill/>
              </a:ln>
              <a:effectLst>
                <a:outerShdw blurRad="57150" dist="19050" dir="5400000" algn="ctr" rotWithShape="0">
                  <a:srgbClr val="000000">
                    <a:alpha val="63000"/>
                  </a:srgbClr>
                </a:outerShdw>
              </a:effectLst>
            </c:spPr>
          </c:dPt>
          <c:dPt>
            <c:idx val="7"/>
            <c:invertIfNegative val="0"/>
            <c:bubble3D val="0"/>
            <c:spPr>
              <a:solidFill>
                <a:schemeClr val="accent2"/>
              </a:solidFill>
              <a:ln>
                <a:noFill/>
              </a:ln>
              <a:effectLst>
                <a:outerShdw blurRad="57150" dist="19050" dir="5400000" algn="ctr" rotWithShape="0">
                  <a:srgbClr val="000000">
                    <a:alpha val="63000"/>
                  </a:srgbClr>
                </a:outerShdw>
              </a:effectLst>
            </c:spPr>
          </c:dPt>
          <c:dPt>
            <c:idx val="8"/>
            <c:invertIfNegative val="0"/>
            <c:bubble3D val="0"/>
            <c:spPr>
              <a:solidFill>
                <a:schemeClr val="accent2"/>
              </a:solidFill>
              <a:ln>
                <a:noFill/>
              </a:ln>
              <a:effectLst>
                <a:outerShdw blurRad="57150" dist="19050" dir="5400000" algn="ctr" rotWithShape="0">
                  <a:srgbClr val="000000">
                    <a:alpha val="63000"/>
                  </a:srgbClr>
                </a:outerShdw>
              </a:effectLst>
            </c:spPr>
          </c:dPt>
          <c:dPt>
            <c:idx val="9"/>
            <c:invertIfNegative val="0"/>
            <c:bubble3D val="0"/>
            <c:spPr>
              <a:solidFill>
                <a:schemeClr val="accent2"/>
              </a:soli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multiLvlStrRef>
              <c:f>分析!$F$600:$G$609</c:f>
              <c:multiLvlStrCache>
                <c:ptCount val="10"/>
                <c:lvl>
                  <c:pt idx="0">
                    <c:v>非常愿意</c:v>
                  </c:pt>
                  <c:pt idx="1">
                    <c:v>愿意</c:v>
                  </c:pt>
                  <c:pt idx="2">
                    <c:v>比较愿意</c:v>
                  </c:pt>
                  <c:pt idx="3">
                    <c:v>不太愿意</c:v>
                  </c:pt>
                  <c:pt idx="4">
                    <c:v>很不愿意</c:v>
                  </c:pt>
                  <c:pt idx="5">
                    <c:v>非常满意</c:v>
                  </c:pt>
                  <c:pt idx="6">
                    <c:v>满意</c:v>
                  </c:pt>
                  <c:pt idx="7">
                    <c:v>比较满意</c:v>
                  </c:pt>
                  <c:pt idx="8">
                    <c:v>不太满意</c:v>
                  </c:pt>
                  <c:pt idx="9">
                    <c:v>很不满意</c:v>
                  </c:pt>
                </c:lvl>
                <c:lvl>
                  <c:pt idx="0">
                    <c:v>推荐度</c:v>
                  </c:pt>
                  <c:pt idx="5">
                    <c:v>满意度</c:v>
                  </c:pt>
                </c:lvl>
              </c:multiLvlStrCache>
            </c:multiLvlStrRef>
          </c:cat>
          <c:val>
            <c:numRef>
              <c:f>分析!$I$600:$I$609</c:f>
              <c:numCache>
                <c:formatCode>0.00%</c:formatCode>
                <c:ptCount val="10"/>
                <c:pt idx="0">
                  <c:v>0.210802700675169</c:v>
                </c:pt>
                <c:pt idx="1">
                  <c:v>0.508627156789198</c:v>
                </c:pt>
                <c:pt idx="2">
                  <c:v>0.2135</c:v>
                </c:pt>
                <c:pt idx="3">
                  <c:v>0.0570142535633909</c:v>
                </c:pt>
                <c:pt idx="4">
                  <c:v>0.0101275318829707</c:v>
                </c:pt>
                <c:pt idx="5">
                  <c:v>0.231</c:v>
                </c:pt>
                <c:pt idx="6">
                  <c:v>0.514628657164292</c:v>
                </c:pt>
                <c:pt idx="7">
                  <c:v>0.229557389347337</c:v>
                </c:pt>
                <c:pt idx="8">
                  <c:v>0.0198799699924981</c:v>
                </c:pt>
                <c:pt idx="9">
                  <c:v>0.0048762190547637</c:v>
                </c:pt>
              </c:numCache>
            </c:numRef>
          </c:val>
        </c:ser>
        <c:dLbls>
          <c:showLegendKey val="0"/>
          <c:showVal val="1"/>
          <c:showCatName val="0"/>
          <c:showSerName val="0"/>
          <c:showPercent val="0"/>
          <c:showBubbleSize val="0"/>
        </c:dLbls>
        <c:gapWidth val="115"/>
        <c:overlap val="-20"/>
        <c:axId val="349054080"/>
        <c:axId val="349055616"/>
      </c:barChart>
      <c:catAx>
        <c:axId val="349054080"/>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9055616"/>
        <c:crosses val="autoZero"/>
        <c:auto val="1"/>
        <c:lblAlgn val="ctr"/>
        <c:lblOffset val="100"/>
        <c:noMultiLvlLbl val="0"/>
      </c:catAx>
      <c:valAx>
        <c:axId val="349055616"/>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90540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Pt>
            <c:idx val="0"/>
            <c:invertIfNegative val="0"/>
            <c:bubble3D val="0"/>
            <c:spPr>
              <a:blipFill>
                <a:blip xmlns:r="http://schemas.openxmlformats.org/officeDocument/2006/relationships" r:embed="rId3"/>
                <a:stretch>
                  <a:fillRect/>
                </a:stretch>
              </a:blipFill>
              <a:ln>
                <a:noFill/>
              </a:ln>
              <a:effectLst/>
            </c:spPr>
            <c:pictureOptions>
              <c:pictureFormat val="stack"/>
            </c:pictureOptions>
          </c:dPt>
          <c:dPt>
            <c:idx val="1"/>
            <c:invertIfNegative val="0"/>
            <c:bubble3D val="0"/>
            <c:spPr>
              <a:blipFill>
                <a:blip xmlns:r="http://schemas.openxmlformats.org/officeDocument/2006/relationships" r:embed="rId4"/>
                <a:stretch>
                  <a:fillRect/>
                </a:stretch>
              </a:blipFill>
              <a:ln>
                <a:noFill/>
              </a:ln>
              <a:effectLst/>
            </c:spPr>
            <c:pictureOptions>
              <c:pictureFormat val="stack"/>
            </c:pictureOptions>
          </c:dPt>
          <c:dPt>
            <c:idx val="2"/>
            <c:invertIfNegative val="0"/>
            <c:bubble3D val="0"/>
            <c:spPr>
              <a:blipFill>
                <a:blip xmlns:r="http://schemas.openxmlformats.org/officeDocument/2006/relationships" r:embed="rId5"/>
                <a:stretch>
                  <a:fillRect/>
                </a:stretch>
              </a:blipFill>
              <a:ln>
                <a:noFill/>
              </a:ln>
              <a:effectLst/>
            </c:spPr>
            <c:pictureOptions>
              <c:pictureFormat val="stack"/>
            </c:pictureOptions>
          </c:dPt>
          <c:dPt>
            <c:idx val="3"/>
            <c:invertIfNegative val="0"/>
            <c:bubble3D val="0"/>
            <c:spPr>
              <a:blipFill>
                <a:blip xmlns:r="http://schemas.openxmlformats.org/officeDocument/2006/relationships" r:embed="rId6"/>
                <a:stretch>
                  <a:fillRect/>
                </a:stretch>
              </a:blipFill>
              <a:ln>
                <a:noFill/>
              </a:ln>
              <a:effectLst/>
            </c:spPr>
            <c:pictureOptions>
              <c:pictureFormat val="stack"/>
            </c:pictureOptions>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分析!$G$663:$G$666</c:f>
              <c:strCache>
                <c:ptCount val="4"/>
                <c:pt idx="0">
                  <c:v>教师授课</c:v>
                </c:pt>
                <c:pt idx="1">
                  <c:v>实践教学</c:v>
                </c:pt>
                <c:pt idx="2">
                  <c:v>专业设置</c:v>
                </c:pt>
                <c:pt idx="3">
                  <c:v>课程设置</c:v>
                </c:pt>
              </c:strCache>
            </c:strRef>
          </c:cat>
          <c:val>
            <c:numRef>
              <c:f>分析!$H$663:$H$666</c:f>
              <c:numCache>
                <c:formatCode>0.00</c:formatCode>
                <c:ptCount val="4"/>
                <c:pt idx="0">
                  <c:v>4.02213053263316</c:v>
                </c:pt>
                <c:pt idx="1">
                  <c:v>3.99324831207802</c:v>
                </c:pt>
                <c:pt idx="2">
                  <c:v>3.98424606151538</c:v>
                </c:pt>
                <c:pt idx="3">
                  <c:v>3.94148537134284</c:v>
                </c:pt>
              </c:numCache>
            </c:numRef>
          </c:val>
        </c:ser>
        <c:dLbls>
          <c:showLegendKey val="0"/>
          <c:showVal val="1"/>
          <c:showCatName val="0"/>
          <c:showSerName val="0"/>
          <c:showPercent val="0"/>
          <c:showBubbleSize val="0"/>
        </c:dLbls>
        <c:gapWidth val="219"/>
        <c:overlap val="-27"/>
        <c:axId val="349107712"/>
        <c:axId val="349109248"/>
      </c:barChart>
      <c:catAx>
        <c:axId val="349107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9109248"/>
        <c:crosses val="autoZero"/>
        <c:auto val="1"/>
        <c:lblAlgn val="ctr"/>
        <c:lblOffset val="100"/>
        <c:noMultiLvlLbl val="0"/>
      </c:catAx>
      <c:valAx>
        <c:axId val="349109248"/>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91077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2">
                          <a:lumMod val="35000"/>
                          <a:lumOff val="65000"/>
                        </a:schemeClr>
                      </a:solidFill>
                      <a:prstDash val="solid"/>
                      <a:round/>
                    </a:ln>
                    <a:effectLst/>
                  </c:spPr>
                </c15:leaderLines>
              </c:ext>
            </c:extLst>
          </c:dLbls>
          <c:cat>
            <c:strRef>
              <c:f>分析!$C$694:$C$700</c:f>
              <c:strCache>
                <c:ptCount val="7"/>
                <c:pt idx="0">
                  <c:v>实践教学</c:v>
                </c:pt>
                <c:pt idx="1">
                  <c:v>专业课内容及安排</c:v>
                </c:pt>
                <c:pt idx="2">
                  <c:v>教学方法和手段</c:v>
                </c:pt>
                <c:pt idx="3">
                  <c:v>公共课内容及安排</c:v>
                </c:pt>
                <c:pt idx="4">
                  <c:v>师资水平</c:v>
                </c:pt>
                <c:pt idx="5">
                  <c:v>其他</c:v>
                </c:pt>
                <c:pt idx="6">
                  <c:v>考核方法与教学评价</c:v>
                </c:pt>
              </c:strCache>
            </c:strRef>
          </c:cat>
          <c:val>
            <c:numRef>
              <c:f>分析!$E$694:$E$700</c:f>
              <c:numCache>
                <c:formatCode>0.00%</c:formatCode>
                <c:ptCount val="7"/>
                <c:pt idx="0">
                  <c:v>0.209115281501341</c:v>
                </c:pt>
                <c:pt idx="1">
                  <c:v>0.193029490616622</c:v>
                </c:pt>
                <c:pt idx="2">
                  <c:v>0.173190348525469</c:v>
                </c:pt>
                <c:pt idx="3">
                  <c:v>0.157819481680072</c:v>
                </c:pt>
                <c:pt idx="4">
                  <c:v>0.0954423592493297</c:v>
                </c:pt>
                <c:pt idx="5">
                  <c:v>0.0872207327971403</c:v>
                </c:pt>
                <c:pt idx="6">
                  <c:v>0.0841823056300268</c:v>
                </c:pt>
              </c:numCache>
            </c:numRef>
          </c:val>
        </c:ser>
        <c:dLbls>
          <c:showLegendKey val="0"/>
          <c:showVal val="1"/>
          <c:showCatName val="0"/>
          <c:showSerName val="0"/>
          <c:showPercent val="0"/>
          <c:showBubbleSize val="0"/>
        </c:dLbls>
        <c:gapWidth val="150"/>
        <c:overlap val="100"/>
        <c:axId val="349170304"/>
        <c:axId val="349180288"/>
      </c:barChart>
      <c:catAx>
        <c:axId val="349170304"/>
        <c:scaling>
          <c:orientation val="maxMin"/>
        </c:scaling>
        <c:delete val="0"/>
        <c:axPos val="l"/>
        <c:numFmt formatCode="General" sourceLinked="1"/>
        <c:majorTickMark val="none"/>
        <c:minorTickMark val="none"/>
        <c:tickLblPos val="nextTo"/>
        <c:spPr>
          <a:noFill/>
          <a:ln w="9525" cap="flat" cmpd="sng" algn="ctr">
            <a:solidFill>
              <a:schemeClr val="tx2">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p>
        </c:txPr>
        <c:crossAx val="349180288"/>
        <c:crosses val="autoZero"/>
        <c:auto val="1"/>
        <c:lblAlgn val="ctr"/>
        <c:lblOffset val="100"/>
        <c:noMultiLvlLbl val="0"/>
      </c:catAx>
      <c:valAx>
        <c:axId val="349180288"/>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p>
        </c:txPr>
        <c:crossAx val="349170304"/>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0729861111111111"/>
          <c:y val="0.0524809160305343"/>
          <c:w val="0.885138888888889"/>
          <c:h val="0.82905534351145"/>
        </c:manualLayout>
      </c:layout>
      <c:barChart>
        <c:barDir val="bar"/>
        <c:grouping val="stacked"/>
        <c:varyColors val="0"/>
        <c:ser>
          <c:idx val="0"/>
          <c:order val="0"/>
          <c:tx>
            <c:strRef>
              <c:f>'[仙桃职业学院趋势对比.xlsx]2017届数据'!$H$131</c:f>
              <c:strCache>
                <c:ptCount val="1"/>
                <c:pt idx="0">
                  <c:v>农村</c:v>
                </c:pt>
              </c:strCache>
            </c:strRef>
          </c:tx>
          <c:spPr>
            <a:blipFill>
              <a:blip xmlns:r="http://schemas.openxmlformats.org/officeDocument/2006/relationships" r:embed="rId3"/>
              <a:stretch>
                <a:fillRect/>
              </a:stretch>
            </a:blipFill>
            <a:ln>
              <a:noFill/>
            </a:ln>
            <a:effectLst/>
          </c:spPr>
          <c:invertIfNegative val="0"/>
          <c:dLbls>
            <c:dLbl>
              <c:idx val="0"/>
              <c:layout/>
              <c:tx>
                <c:rich>
                  <a:bodyPr rot="0" spcFirstLastPara="1" vertOverflow="ellipsis" vert="horz" wrap="square" lIns="38100" tIns="19050" rIns="38100" bIns="19050" anchor="ctr" anchorCtr="1"/>
                  <a:lstStyle/>
                  <a:p>
                    <a:fld id="{c3a24b81-7a48-49e7-9d85-ee4768c85985}" type="SERIESNAME">
                      <a:t>[SERIES NAME]</a:t>
                    </a:fld>
                    <a:r>
                      <a:t>,</a:t>
                    </a:r>
                    <a:fld id="{21ee3ebb-5078-4f70-9df5-ceb794d6ad12}" type="VALUE">
                      <a:t>[VALUE]</a:t>
                    </a:fld>
                    <a:endParaRPr b="0" i="0" u="none" strike="noStrike" baseline="0">
                      <a:latin typeface="Times New Roman" panose="02020603050405020304" charset="0"/>
                      <a:ea typeface="Times New Roman" panose="02020603050405020304" charset="0"/>
                      <a:cs typeface="+mn-ea"/>
                    </a:endParaRPr>
                  </a:p>
                </c:rich>
              </c:tx>
              <c:dLblPos val="ctr"/>
              <c:showLegendKey val="0"/>
              <c:showVal val="1"/>
              <c:showCatName val="0"/>
              <c:showSerName val="1"/>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'[仙桃职业学院趋势对比.xlsx]2017届数据'!$J$131</c:f>
              <c:numCache>
                <c:formatCode>0.00%</c:formatCode>
                <c:ptCount val="1"/>
                <c:pt idx="0">
                  <c:v>0.800237459186702</c:v>
                </c:pt>
              </c:numCache>
            </c:numRef>
          </c:val>
        </c:ser>
        <c:ser>
          <c:idx val="1"/>
          <c:order val="1"/>
          <c:tx>
            <c:strRef>
              <c:f>'[仙桃职业学院趋势对比.xlsx]2017届数据'!$H$132</c:f>
              <c:strCache>
                <c:ptCount val="1"/>
                <c:pt idx="0">
                  <c:v>城镇</c:v>
                </c:pt>
              </c:strCache>
            </c:strRef>
          </c:tx>
          <c:spPr>
            <a:blipFill>
              <a:blip xmlns:r="http://schemas.openxmlformats.org/officeDocument/2006/relationships" r:embed="rId4"/>
              <a:stretch>
                <a:fillRect/>
              </a:stretch>
            </a:blipFill>
            <a:ln>
              <a:noFill/>
            </a:ln>
            <a:effectLst/>
          </c:spPr>
          <c:invertIfNegative val="0"/>
          <c:dLbls>
            <c:dLbl>
              <c:idx val="0"/>
              <c:layout/>
              <c:tx>
                <c:rich>
                  <a:bodyPr rot="0" spcFirstLastPara="1" vertOverflow="ellipsis" vert="horz" wrap="square" lIns="38100" tIns="19050" rIns="38100" bIns="19050" anchor="ctr" anchorCtr="1"/>
                  <a:lstStyle/>
                  <a:p>
                    <a:fld id="{b9c5f89a-2231-4665-926e-9e4e5925ee30}" type="SERIESNAME">
                      <a:t>[SERIES NAME]</a:t>
                    </a:fld>
                    <a:r>
                      <a:t>,</a:t>
                    </a:r>
                    <a:fld id="{06a8ca46-2bf5-4029-b50b-5cf43dfe744c}" type="VALUE">
                      <a:t>[VALUE]</a:t>
                    </a:fld>
                    <a:endParaRPr b="0" i="0" u="none" strike="noStrike" baseline="0">
                      <a:latin typeface="Times New Roman" panose="02020603050405020304" charset="0"/>
                      <a:ea typeface="Times New Roman" panose="02020603050405020304" charset="0"/>
                      <a:cs typeface="+mn-ea"/>
                    </a:endParaRPr>
                  </a:p>
                </c:rich>
              </c:tx>
              <c:dLblPos val="ctr"/>
              <c:showLegendKey val="0"/>
              <c:showVal val="1"/>
              <c:showCatName val="0"/>
              <c:showSerName val="1"/>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ctr"/>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'[仙桃职业学院趋势对比.xlsx]2017届数据'!$J$132</c:f>
              <c:numCache>
                <c:formatCode>0.00%</c:formatCode>
                <c:ptCount val="1"/>
                <c:pt idx="0">
                  <c:v>0.199762540813298</c:v>
                </c:pt>
              </c:numCache>
            </c:numRef>
          </c:val>
        </c:ser>
        <c:dLbls>
          <c:showLegendKey val="0"/>
          <c:showVal val="1"/>
          <c:showCatName val="0"/>
          <c:showSerName val="0"/>
          <c:showPercent val="0"/>
          <c:showBubbleSize val="0"/>
        </c:dLbls>
        <c:gapWidth val="150"/>
        <c:overlap val="100"/>
        <c:axId val="371536256"/>
        <c:axId val="371537792"/>
      </c:barChart>
      <c:catAx>
        <c:axId val="371536256"/>
        <c:scaling>
          <c:orientation val="minMax"/>
        </c:scaling>
        <c:delete val="1"/>
        <c:axPos val="l"/>
        <c:numFmt formatCode="General"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71537792"/>
        <c:crosses val="autoZero"/>
        <c:auto val="1"/>
        <c:lblAlgn val="ctr"/>
        <c:lblOffset val="100"/>
        <c:noMultiLvlLbl val="0"/>
      </c:catAx>
      <c:valAx>
        <c:axId val="371537792"/>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1536256"/>
        <c:crosses val="autoZero"/>
        <c:crossBetween val="between"/>
      </c:valAx>
      <c:spPr>
        <a:noFill/>
        <a:ln w="19050">
          <a:solidFill>
            <a:srgbClr val="00B0F0"/>
          </a:solidFill>
          <a:prstDash val="sysDot"/>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1347358240512"/>
          <c:y val="0.186737371689273"/>
          <c:w val="0.933484552418173"/>
          <c:h val="0.753487897346166"/>
        </c:manualLayout>
      </c:layout>
      <c:radarChart>
        <c:radarStyle val="filled"/>
        <c:varyColors val="0"/>
        <c:ser>
          <c:idx val="0"/>
          <c:order val="0"/>
          <c:spPr>
            <a:solidFill>
              <a:srgbClr val="3B95D2"/>
            </a:solidFill>
            <a:ln w="25400">
              <a:noFill/>
            </a:ln>
            <a:effectLst>
              <a:outerShdw blurRad="50800" dist="12700" dir="2700000" algn="tl" rotWithShape="0">
                <a:prstClr val="black">
                  <a:alpha val="40000"/>
                </a:prstClr>
              </a:outerShdw>
            </a:effectLst>
          </c:spPr>
          <c:dLbls>
            <c:dLbl>
              <c:idx val="2"/>
              <c:layout>
                <c:manualLayout>
                  <c:x val="0.0777777777777778"/>
                  <c:y val="-0.00476171728533934"/>
                </c:manualLayout>
              </c:layout>
              <c:showLegendKey val="0"/>
              <c:showVal val="1"/>
              <c:showCatName val="1"/>
              <c:showSerName val="0"/>
              <c:showPercent val="0"/>
              <c:showBubbleSize val="0"/>
              <c:separator>
</c:separator>
              <c:extLst>
                <c:ext xmlns:c15="http://schemas.microsoft.com/office/drawing/2012/chart" uri="{CE6537A1-D6FC-4f65-9D91-7224C49458BB}">
                  <c15:layout>
                    <c:manualLayout>
                      <c:w val="0.322222222222222"/>
                      <c:h val="0.259357330333708"/>
                    </c:manualLayout>
                  </c15:layout>
                </c:ext>
              </c:extLst>
            </c:dLbl>
            <c:dLbl>
              <c:idx val="4"/>
              <c:layout>
                <c:manualLayout>
                  <c:x val="-0.113888779527559"/>
                  <c:y val="1.87476565342021e-7"/>
                </c:manualLayout>
              </c:layout>
              <c:showLegendKey val="0"/>
              <c:showVal val="1"/>
              <c:showCatName val="1"/>
              <c:showSerName val="0"/>
              <c:showPercent val="0"/>
              <c:showBubbleSize val="0"/>
              <c:separator>
</c:separator>
              <c:extLst>
                <c:ext xmlns:c15="http://schemas.microsoft.com/office/drawing/2012/chart" uri="{CE6537A1-D6FC-4f65-9D91-7224C49458BB}">
                  <c15:layout>
                    <c:manualLayout>
                      <c:w val="0.384083333333333"/>
                      <c:h val="0.259357330333708"/>
                    </c:manualLayout>
                  </c15:layout>
                </c:ext>
              </c:extLst>
            </c:dLbl>
            <c:dLbl>
              <c:idx val="5"/>
              <c:layout>
                <c:manualLayout>
                  <c:x val="-0.0694444444444445"/>
                  <c:y val="1.87476565429322e-7"/>
                </c:manualLayout>
              </c:layout>
              <c:showLegendKey val="0"/>
              <c:showVal val="1"/>
              <c:showCatName val="1"/>
              <c:showSerName val="0"/>
              <c:showPercent val="0"/>
              <c:showBubbleSize val="0"/>
              <c:separator>
</c:separator>
              <c:extLst>
                <c:ext xmlns:c15="http://schemas.microsoft.com/office/drawing/2012/chart" uri="{CE6537A1-D6FC-4f65-9D91-7224C49458BB}">
                  <c15:layout>
                    <c:manualLayout>
                      <c:w val="0.372222222222222"/>
                      <c:h val="0.259357330333708"/>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微软雅黑" panose="020B0503020204020204" charset="-122"/>
                    <a:ea typeface="微软雅黑" panose="020B0503020204020204" charset="-122"/>
                    <a:cs typeface="Arial" panose="020B0604020202020204" pitchFamily="2" charset="0"/>
                  </a:defRPr>
                </a:pPr>
              </a:p>
            </c:txPr>
            <c:showLegendKey val="0"/>
            <c:showVal val="1"/>
            <c:showCatName val="1"/>
            <c:showSerName val="0"/>
            <c:showPercent val="0"/>
            <c:showBubbleSize val="0"/>
            <c:separator>
</c:separator>
            <c:showLeaderLines val="0"/>
            <c:extLst>
              <c:ext xmlns:c15="http://schemas.microsoft.com/office/drawing/2012/chart" uri="{CE6537A1-D6FC-4f65-9D91-7224C49458BB}">
                <c15:layout/>
                <c15:showLeaderLines val="0"/>
                <c15:leaderLines/>
              </c:ext>
            </c:extLst>
          </c:dLbls>
          <c:cat>
            <c:strRef>
              <c:f>分析!$C$714:$C$719</c:f>
              <c:strCache>
                <c:ptCount val="6"/>
                <c:pt idx="0">
                  <c:v>就业信息提供与发布</c:v>
                </c:pt>
                <c:pt idx="1">
                  <c:v>就业手续办理</c:v>
                </c:pt>
                <c:pt idx="2">
                  <c:v>校园招聘活动安排</c:v>
                </c:pt>
                <c:pt idx="3">
                  <c:v>职业咨询/辅导</c:v>
                </c:pt>
                <c:pt idx="4">
                  <c:v>就业指导/创业教育课与服务</c:v>
                </c:pt>
                <c:pt idx="5">
                  <c:v>就业困难群体帮扶情况</c:v>
                </c:pt>
              </c:strCache>
            </c:strRef>
          </c:cat>
          <c:val>
            <c:numRef>
              <c:f>分析!$E$714:$E$719</c:f>
              <c:numCache>
                <c:formatCode>0.00%</c:formatCode>
                <c:ptCount val="6"/>
                <c:pt idx="0">
                  <c:v>0.949362340585146</c:v>
                </c:pt>
                <c:pt idx="1">
                  <c:v>0.945611402850713</c:v>
                </c:pt>
                <c:pt idx="2">
                  <c:v>0.943735933983497</c:v>
                </c:pt>
                <c:pt idx="3">
                  <c:v>0.943735933983497</c:v>
                </c:pt>
                <c:pt idx="4">
                  <c:v>0.942985746436609</c:v>
                </c:pt>
                <c:pt idx="5">
                  <c:v>0.939234808702176</c:v>
                </c:pt>
              </c:numCache>
            </c:numRef>
          </c:val>
        </c:ser>
        <c:dLbls>
          <c:showLegendKey val="0"/>
          <c:showVal val="1"/>
          <c:showCatName val="1"/>
          <c:showSerName val="0"/>
          <c:showPercent val="0"/>
          <c:showBubbleSize val="0"/>
        </c:dLbls>
        <c:axId val="349193344"/>
        <c:axId val="349194880"/>
      </c:radarChart>
      <c:catAx>
        <c:axId val="349193344"/>
        <c:scaling>
          <c:orientation val="minMax"/>
        </c:scaling>
        <c:delete val="1"/>
        <c:axPos val="b"/>
        <c:majorGridlines/>
        <c:numFmt formatCode="General" sourceLinked="0"/>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49194880"/>
        <c:crosses val="autoZero"/>
        <c:auto val="1"/>
        <c:lblAlgn val="ctr"/>
        <c:lblOffset val="100"/>
        <c:noMultiLvlLbl val="0"/>
      </c:catAx>
      <c:valAx>
        <c:axId val="349194880"/>
        <c:scaling>
          <c:orientation val="minMax"/>
        </c:scaling>
        <c:delete val="0"/>
        <c:axPos val="l"/>
        <c:majorGridlines>
          <c:spPr>
            <a:ln w="9525" cap="flat" cmpd="sng" algn="ctr">
              <a:solidFill>
                <a:schemeClr val="bg1">
                  <a:lumMod val="85000"/>
                </a:schemeClr>
              </a:solidFill>
              <a:prstDash val="solid"/>
              <a:round/>
            </a:ln>
          </c:spPr>
        </c:majorGridlines>
        <c:numFmt formatCode="0.00%" sourceLinked="1"/>
        <c:majorTickMark val="none"/>
        <c:minorTickMark val="none"/>
        <c:tickLblPos val="nextTo"/>
        <c:spPr>
          <a:ln w="9525" cap="flat" cmpd="sng" algn="ctr">
            <a:solidFill>
              <a:schemeClr val="bg1">
                <a:lumMod val="95000"/>
              </a:schemeClr>
            </a:solidFill>
            <a:prstDash val="solid"/>
            <a:round/>
          </a:ln>
        </c:spPr>
        <c:txPr>
          <a:bodyPr rot="-60000000" spcFirstLastPara="0" vertOverflow="ellipsis" vert="horz" wrap="square" anchor="ctr" anchorCtr="1"/>
          <a:lstStyle/>
          <a:p>
            <a:pPr>
              <a:defRPr lang="zh-CN" sz="1000" b="0" i="0" u="none" strike="noStrike" kern="1200" baseline="0">
                <a:noFill/>
                <a:latin typeface="+mn-lt"/>
                <a:ea typeface="+mn-ea"/>
                <a:cs typeface="+mn-cs"/>
              </a:defRPr>
            </a:pPr>
          </a:p>
        </c:txPr>
        <c:crossAx val="349193344"/>
        <c:crosses val="autoZero"/>
        <c:crossBetween val="between"/>
      </c:valAx>
      <c:spPr>
        <a:noFill/>
        <a:ln>
          <a:noFill/>
        </a:ln>
        <a:effectLst/>
      </c:spPr>
    </c:plotArea>
    <c:plotVisOnly val="1"/>
    <c:dispBlanksAs val="gap"/>
    <c:showDLblsOverMax val="0"/>
  </c:chart>
  <c:spPr>
    <a:ln w="9525" cap="flat" cmpd="sng" algn="ctr">
      <a:solidFill>
        <a:schemeClr val="bg1">
          <a:lumMod val="95000"/>
        </a:schemeClr>
      </a:solidFill>
      <a:prstDash val="solid"/>
      <a:round/>
    </a:ln>
    <a:effectLst/>
  </c:spPr>
  <c:txPr>
    <a:bodyPr/>
    <a:lstStyle/>
    <a:p>
      <a:pPr>
        <a:defRPr lang="zh-CN"/>
      </a:pPr>
    </a:p>
  </c:txPr>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explosion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Pt>
            <c:idx val="5"/>
            <c:bubble3D val="0"/>
            <c:spPr>
              <a:solidFill>
                <a:schemeClr val="accent6"/>
              </a:solidFill>
              <a:ln w="25400">
                <a:solidFill>
                  <a:schemeClr val="lt1"/>
                </a:solidFill>
              </a:ln>
              <a:effectLst/>
              <a:sp3d contourW="25400">
                <a:contourClr>
                  <a:schemeClr val="lt1"/>
                </a:contourClr>
              </a:sp3d>
            </c:spPr>
          </c:dPt>
          <c:dPt>
            <c:idx val="6"/>
            <c:bubble3D val="0"/>
            <c:spPr>
              <a:solidFill>
                <a:schemeClr val="accent1">
                  <a:lumMod val="60000"/>
                </a:schemeClr>
              </a:solidFill>
              <a:ln w="25400">
                <a:solidFill>
                  <a:schemeClr val="lt1"/>
                </a:solidFill>
              </a:ln>
              <a:effectLst/>
              <a:sp3d contourW="25400">
                <a:contourClr>
                  <a:schemeClr val="lt1"/>
                </a:contourClr>
              </a:sp3d>
            </c:spPr>
          </c:dPt>
          <c:dPt>
            <c:idx val="7"/>
            <c:bubble3D val="0"/>
            <c:spPr>
              <a:solidFill>
                <a:schemeClr val="accent2">
                  <a:lumMod val="60000"/>
                </a:schemeClr>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分析!$D$765:$D$772</c:f>
              <c:strCache>
                <c:ptCount val="8"/>
                <c:pt idx="0">
                  <c:v>求职面试技巧培训    </c:v>
                </c:pt>
                <c:pt idx="1">
                  <c:v>与用人单位建立关系，做好推荐工作</c:v>
                </c:pt>
                <c:pt idx="2">
                  <c:v>就业政策、形势分析  </c:v>
                </c:pt>
                <c:pt idx="3">
                  <c:v>就业心理咨询    </c:v>
                </c:pt>
                <c:pt idx="4">
                  <c:v>就业信息发布       </c:v>
                </c:pt>
                <c:pt idx="5">
                  <c:v>聘请专业的就/创业指导老师 </c:v>
                </c:pt>
                <c:pt idx="6">
                  <c:v>组织校园供需见面会 </c:v>
                </c:pt>
                <c:pt idx="7">
                  <c:v>其他 </c:v>
                </c:pt>
              </c:strCache>
            </c:strRef>
          </c:cat>
          <c:val>
            <c:numRef>
              <c:f>分析!$F$765:$F$772</c:f>
              <c:numCache>
                <c:formatCode>0.00%</c:formatCode>
                <c:ptCount val="8"/>
                <c:pt idx="0">
                  <c:v>0.204091653027823</c:v>
                </c:pt>
                <c:pt idx="1">
                  <c:v>0.18772504091653</c:v>
                </c:pt>
                <c:pt idx="2">
                  <c:v>0.170867430441899</c:v>
                </c:pt>
                <c:pt idx="3">
                  <c:v>0.124549918166939</c:v>
                </c:pt>
                <c:pt idx="4">
                  <c:v>0.120294599018003</c:v>
                </c:pt>
                <c:pt idx="5">
                  <c:v>0.0788870703764321</c:v>
                </c:pt>
                <c:pt idx="6">
                  <c:v>0.0685761047463175</c:v>
                </c:pt>
                <c:pt idx="7">
                  <c:v>0.0450081833060557</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6410542432196"/>
          <c:y val="0.106806649168854"/>
          <c:w val="0.55829002624672"/>
          <c:h val="0.893193350831146"/>
        </c:manualLayout>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noFill/>
              <a:ln w="19050">
                <a:solidFill>
                  <a:schemeClr val="lt1"/>
                </a:solidFill>
              </a:ln>
              <a:effectLst/>
            </c:spPr>
          </c:dPt>
          <c:dLbls>
            <c:dLbl>
              <c:idx val="5"/>
              <c:delete val="1"/>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Sheet5!$B$4:$B$9</c:f>
              <c:strCache>
                <c:ptCount val="6"/>
                <c:pt idx="0">
                  <c:v>50人以下</c:v>
                </c:pt>
                <c:pt idx="1">
                  <c:v>501-1000人</c:v>
                </c:pt>
                <c:pt idx="2">
                  <c:v>51-150人</c:v>
                </c:pt>
                <c:pt idx="3">
                  <c:v>1001人及以上</c:v>
                </c:pt>
                <c:pt idx="4">
                  <c:v>151-500人</c:v>
                </c:pt>
                <c:pt idx="5">
                  <c:v>总计</c:v>
                </c:pt>
              </c:strCache>
            </c:strRef>
          </c:cat>
          <c:val>
            <c:numRef>
              <c:f>Sheet5!$D$4:$D$9</c:f>
              <c:numCache>
                <c:formatCode>0.00%</c:formatCode>
                <c:ptCount val="6"/>
                <c:pt idx="0">
                  <c:v>0.454545454545455</c:v>
                </c:pt>
                <c:pt idx="1">
                  <c:v>0.151515151515152</c:v>
                </c:pt>
                <c:pt idx="2">
                  <c:v>0.141414141414142</c:v>
                </c:pt>
                <c:pt idx="3">
                  <c:v>0.131313131313131</c:v>
                </c:pt>
                <c:pt idx="4">
                  <c:v>0.121212121212121</c:v>
                </c:pt>
                <c:pt idx="5">
                  <c:v>1</c:v>
                </c:pt>
              </c:numCache>
            </c:numRef>
          </c:val>
        </c:ser>
        <c:dLbls>
          <c:showLegendKey val="0"/>
          <c:showVal val="1"/>
          <c:showCatName val="0"/>
          <c:showSerName val="0"/>
          <c:showPercent val="0"/>
          <c:showBubbleSize val="0"/>
          <c:showLeaderLines val="1"/>
        </c:dLbls>
        <c:firstSliceAng val="270"/>
      </c:pieChart>
      <c:spPr>
        <a:noFill/>
        <a:ln>
          <a:noFill/>
        </a:ln>
        <a:effectLst/>
      </c:spPr>
    </c:plotArea>
    <c:legend>
      <c:legendPos val="b"/>
      <c:legendEntry>
        <c:idx val="5"/>
        <c:delete val="1"/>
      </c:legendEntry>
      <c:layout>
        <c:manualLayout>
          <c:xMode val="edge"/>
          <c:yMode val="edge"/>
          <c:x val="0.0825481189851269"/>
          <c:y val="0.657985564304462"/>
          <c:w val="0.857125984251969"/>
          <c:h val="0.254051472732575"/>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Sheet5!$C$26</c:f>
              <c:strCache>
                <c:ptCount val="1"/>
                <c:pt idx="0">
                  <c:v>民(私)营企业</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Sheet5!$E$26</c:f>
              <c:numCache>
                <c:formatCode>0.00%</c:formatCode>
                <c:ptCount val="1"/>
                <c:pt idx="0">
                  <c:v>0.454545454545455</c:v>
                </c:pt>
              </c:numCache>
            </c:numRef>
          </c:val>
        </c:ser>
        <c:ser>
          <c:idx val="1"/>
          <c:order val="1"/>
          <c:tx>
            <c:strRef>
              <c:f>Sheet5!$C$27</c:f>
              <c:strCache>
                <c:ptCount val="1"/>
                <c:pt idx="0">
                  <c:v>事业单位</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Sheet5!$E$27</c:f>
              <c:numCache>
                <c:formatCode>0.00%</c:formatCode>
                <c:ptCount val="1"/>
                <c:pt idx="0">
                  <c:v>0.252525252525253</c:v>
                </c:pt>
              </c:numCache>
            </c:numRef>
          </c:val>
        </c:ser>
        <c:ser>
          <c:idx val="2"/>
          <c:order val="2"/>
          <c:tx>
            <c:strRef>
              <c:f>Sheet5!$C$28</c:f>
              <c:strCache>
                <c:ptCount val="1"/>
                <c:pt idx="0">
                  <c:v>股份制企业</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Sheet5!$E$28</c:f>
              <c:numCache>
                <c:formatCode>0.00%</c:formatCode>
                <c:ptCount val="1"/>
                <c:pt idx="0">
                  <c:v>0.111111111111111</c:v>
                </c:pt>
              </c:numCache>
            </c:numRef>
          </c:val>
        </c:ser>
        <c:ser>
          <c:idx val="3"/>
          <c:order val="3"/>
          <c:tx>
            <c:strRef>
              <c:f>Sheet5!$C$29</c:f>
              <c:strCache>
                <c:ptCount val="1"/>
                <c:pt idx="0">
                  <c:v>党政机关</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Sheet5!$E$29</c:f>
              <c:numCache>
                <c:formatCode>0.00%</c:formatCode>
                <c:ptCount val="1"/>
                <c:pt idx="0">
                  <c:v>0.0707070707070707</c:v>
                </c:pt>
              </c:numCache>
            </c:numRef>
          </c:val>
        </c:ser>
        <c:ser>
          <c:idx val="4"/>
          <c:order val="4"/>
          <c:tx>
            <c:strRef>
              <c:f>Sheet5!$C$30</c:f>
              <c:strCache>
                <c:ptCount val="1"/>
                <c:pt idx="0">
                  <c:v>国有企业</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Sheet5!$E$30</c:f>
              <c:numCache>
                <c:formatCode>0.00%</c:formatCode>
                <c:ptCount val="1"/>
                <c:pt idx="0">
                  <c:v>0.0606060606060606</c:v>
                </c:pt>
              </c:numCache>
            </c:numRef>
          </c:val>
        </c:ser>
        <c:ser>
          <c:idx val="5"/>
          <c:order val="5"/>
          <c:tx>
            <c:strRef>
              <c:f>Sheet5!$C$31</c:f>
              <c:strCache>
                <c:ptCount val="1"/>
                <c:pt idx="0">
                  <c:v>外（合）资企业</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Sheet5!$E$31</c:f>
              <c:numCache>
                <c:formatCode>0.00%</c:formatCode>
                <c:ptCount val="1"/>
                <c:pt idx="0">
                  <c:v>0.0505050505050505</c:v>
                </c:pt>
              </c:numCache>
            </c:numRef>
          </c:val>
        </c:ser>
        <c:dLbls>
          <c:showLegendKey val="0"/>
          <c:showVal val="1"/>
          <c:showCatName val="0"/>
          <c:showSerName val="0"/>
          <c:showPercent val="0"/>
          <c:showBubbleSize val="0"/>
        </c:dLbls>
        <c:gapWidth val="75"/>
        <c:overlap val="-25"/>
        <c:axId val="349498368"/>
        <c:axId val="349504256"/>
      </c:barChart>
      <c:catAx>
        <c:axId val="349498368"/>
        <c:scaling>
          <c:orientation val="minMax"/>
        </c:scaling>
        <c:delete val="1"/>
        <c:axPos val="b"/>
        <c:numFmt formatCode="General"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49504256"/>
        <c:crosses val="autoZero"/>
        <c:auto val="1"/>
        <c:lblAlgn val="ctr"/>
        <c:lblOffset val="100"/>
        <c:noMultiLvlLbl val="0"/>
      </c:catAx>
      <c:valAx>
        <c:axId val="349504256"/>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949836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16247594050744"/>
          <c:y val="0.044243317343032"/>
          <c:w val="0.529662073490814"/>
          <c:h val="0.862450471712305"/>
        </c:manualLayout>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Sheet5!$C$43:$C$58</c:f>
              <c:strCache>
                <c:ptCount val="16"/>
                <c:pt idx="0">
                  <c:v>卫生和社会工作</c:v>
                </c:pt>
                <c:pt idx="1">
                  <c:v>建筑业</c:v>
                </c:pt>
                <c:pt idx="2">
                  <c:v>信息传输、软件和信息技术服务业</c:v>
                </c:pt>
                <c:pt idx="3">
                  <c:v>交通运输、仓储和邮政业</c:v>
                </c:pt>
                <c:pt idx="4">
                  <c:v>住宿和餐饮业</c:v>
                </c:pt>
                <c:pt idx="5">
                  <c:v>教育</c:v>
                </c:pt>
                <c:pt idx="6">
                  <c:v>房地产业</c:v>
                </c:pt>
                <c:pt idx="7">
                  <c:v>金融业</c:v>
                </c:pt>
                <c:pt idx="8">
                  <c:v>科学研究和技术服务业</c:v>
                </c:pt>
                <c:pt idx="9">
                  <c:v>农、林、牧、渔业</c:v>
                </c:pt>
                <c:pt idx="10">
                  <c:v>批发和零售业</c:v>
                </c:pt>
                <c:pt idx="11">
                  <c:v>制造业</c:v>
                </c:pt>
                <c:pt idx="12">
                  <c:v>租赁和商业服务业</c:v>
                </c:pt>
                <c:pt idx="13">
                  <c:v>居民服务、修理和其他服务业</c:v>
                </c:pt>
                <c:pt idx="14">
                  <c:v>水利、环境和公共设施管理业</c:v>
                </c:pt>
                <c:pt idx="15">
                  <c:v>文化、体育和娱乐业</c:v>
                </c:pt>
              </c:strCache>
            </c:strRef>
          </c:cat>
          <c:val>
            <c:numRef>
              <c:f>Sheet5!$E$43:$E$58</c:f>
              <c:numCache>
                <c:formatCode>0.00%</c:formatCode>
                <c:ptCount val="16"/>
                <c:pt idx="0">
                  <c:v>0.424242424242424</c:v>
                </c:pt>
                <c:pt idx="1">
                  <c:v>0.101010101010101</c:v>
                </c:pt>
                <c:pt idx="2">
                  <c:v>0.101010101010101</c:v>
                </c:pt>
                <c:pt idx="3">
                  <c:v>0.090909090909091</c:v>
                </c:pt>
                <c:pt idx="4">
                  <c:v>0.0505050505050505</c:v>
                </c:pt>
                <c:pt idx="5">
                  <c:v>0.0404040404040404</c:v>
                </c:pt>
                <c:pt idx="6">
                  <c:v>0.0303030303030303</c:v>
                </c:pt>
                <c:pt idx="7">
                  <c:v>0.0303030303030303</c:v>
                </c:pt>
                <c:pt idx="8">
                  <c:v>0.0202020202020202</c:v>
                </c:pt>
                <c:pt idx="9">
                  <c:v>0.0202020202020202</c:v>
                </c:pt>
                <c:pt idx="10">
                  <c:v>0.0202020202020202</c:v>
                </c:pt>
                <c:pt idx="11">
                  <c:v>0.0202020202020202</c:v>
                </c:pt>
                <c:pt idx="12">
                  <c:v>0.0202020202020202</c:v>
                </c:pt>
                <c:pt idx="13">
                  <c:v>0.0101010101010101</c:v>
                </c:pt>
                <c:pt idx="14">
                  <c:v>0.0101010101010101</c:v>
                </c:pt>
                <c:pt idx="15">
                  <c:v>0.0101010101010101</c:v>
                </c:pt>
              </c:numCache>
            </c:numRef>
          </c:val>
        </c:ser>
        <c:dLbls>
          <c:showLegendKey val="0"/>
          <c:showVal val="1"/>
          <c:showCatName val="0"/>
          <c:showSerName val="0"/>
          <c:showPercent val="0"/>
          <c:showBubbleSize val="0"/>
        </c:dLbls>
        <c:gapWidth val="182"/>
        <c:axId val="349541504"/>
        <c:axId val="349543040"/>
      </c:barChart>
      <c:catAx>
        <c:axId val="349541504"/>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dk1"/>
                </a:solidFill>
                <a:latin typeface="+mn-lt"/>
                <a:ea typeface="+mn-ea"/>
                <a:cs typeface="+mn-cs"/>
              </a:defRPr>
            </a:pPr>
          </a:p>
        </c:txPr>
        <c:crossAx val="349543040"/>
        <c:crosses val="autoZero"/>
        <c:auto val="1"/>
        <c:lblAlgn val="ctr"/>
        <c:lblOffset val="100"/>
        <c:noMultiLvlLbl val="0"/>
      </c:catAx>
      <c:valAx>
        <c:axId val="349543040"/>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dk1"/>
                </a:solidFill>
                <a:latin typeface="+mn-lt"/>
                <a:ea typeface="+mn-ea"/>
                <a:cs typeface="+mn-cs"/>
              </a:defRPr>
            </a:pPr>
          </a:p>
        </c:txPr>
        <c:crossAx val="349541504"/>
        <c:crosses val="max"/>
        <c:crossBetween val="between"/>
      </c:valAx>
      <c:spPr>
        <a:noFill/>
        <a:ln w="25400">
          <a:noFill/>
        </a:ln>
      </c:spPr>
    </c:plotArea>
    <c:plotVisOnly val="1"/>
    <c:dispBlanksAs val="gap"/>
    <c:showDLblsOverMax val="0"/>
  </c:chart>
  <c:spPr>
    <a:solidFill>
      <a:schemeClr val="lt1"/>
    </a:solidFill>
    <a:ln w="12700" cap="flat" cmpd="sng" algn="ctr">
      <a:noFill/>
      <a:prstDash val="solid"/>
      <a:miter lim="800000"/>
    </a:ln>
    <a:effectLst/>
  </c:spPr>
  <c:txPr>
    <a:bodyPr/>
    <a:lstStyle/>
    <a:p>
      <a:pPr>
        <a:defRPr lang="zh-CN">
          <a:solidFill>
            <a:schemeClr val="dk1"/>
          </a:solidFill>
          <a:latin typeface="+mn-lt"/>
          <a:ea typeface="+mn-ea"/>
          <a:cs typeface="+mn-cs"/>
        </a:defRPr>
      </a:pPr>
    </a:p>
  </c:txPr>
  <c:externalData r:id="rId1">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doughnut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Sheet5!$C$65:$C$68</c:f>
              <c:strCache>
                <c:ptCount val="4"/>
                <c:pt idx="0">
                  <c:v>校园招聘</c:v>
                </c:pt>
                <c:pt idx="1">
                  <c:v>社会招聘</c:v>
                </c:pt>
                <c:pt idx="2">
                  <c:v>其他</c:v>
                </c:pt>
                <c:pt idx="3">
                  <c:v>在实习（见习）中选拔</c:v>
                </c:pt>
              </c:strCache>
            </c:strRef>
          </c:cat>
          <c:val>
            <c:numRef>
              <c:f>Sheet5!$E$65:$E$68</c:f>
              <c:numCache>
                <c:formatCode>0.00%</c:formatCode>
                <c:ptCount val="4"/>
                <c:pt idx="0">
                  <c:v>0.545454545454545</c:v>
                </c:pt>
                <c:pt idx="1">
                  <c:v>0.333333333333333</c:v>
                </c:pt>
                <c:pt idx="2">
                  <c:v>0.0808080808080808</c:v>
                </c:pt>
                <c:pt idx="3">
                  <c:v>0.0404040404040404</c:v>
                </c:pt>
              </c:numCache>
            </c:numRef>
          </c:val>
        </c:ser>
        <c:dLbls>
          <c:showLegendKey val="0"/>
          <c:showVal val="1"/>
          <c:showCatName val="0"/>
          <c:showSerName val="0"/>
          <c:showPercent val="0"/>
          <c:showBubbleSize val="0"/>
          <c:showLeaderLines val="1"/>
        </c:dLbls>
        <c:firstSliceAng val="0"/>
        <c:holeSize val="75"/>
      </c:doughnut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blipFill>
              <a:blip xmlns:r="http://schemas.openxmlformats.org/officeDocument/2006/relationships" r:embed="rId3"/>
              <a:stretch>
                <a:fillRect/>
              </a:stretch>
            </a:blipFill>
            <a:ln>
              <a:noFill/>
            </a:ln>
            <a:effectLst/>
          </c:spPr>
          <c:invertIfNegative val="0"/>
          <c:dPt>
            <c:idx val="1"/>
            <c:invertIfNegative val="0"/>
            <c:bubble3D val="0"/>
            <c:spPr>
              <a:blipFill>
                <a:blip xmlns:r="http://schemas.openxmlformats.org/officeDocument/2006/relationships" r:embed="rId4"/>
                <a:stretch>
                  <a:fillRect/>
                </a:stretch>
              </a:blipFill>
              <a:ln>
                <a:noFill/>
              </a:ln>
              <a:effectLst/>
            </c:spPr>
          </c:dPt>
          <c:dPt>
            <c:idx val="2"/>
            <c:invertIfNegative val="0"/>
            <c:bubble3D val="0"/>
            <c:spPr>
              <a:blipFill>
                <a:blip xmlns:r="http://schemas.openxmlformats.org/officeDocument/2006/relationships" r:embed="rId5"/>
                <a:stretch>
                  <a:fillRect/>
                </a:stretch>
              </a:blipFill>
              <a:ln>
                <a:noFill/>
              </a:ln>
              <a:effectLst/>
            </c:spPr>
          </c:dPt>
          <c:dPt>
            <c:idx val="3"/>
            <c:invertIfNegative val="0"/>
            <c:bubble3D val="0"/>
            <c:spPr>
              <a:blipFill>
                <a:blip xmlns:r="http://schemas.openxmlformats.org/officeDocument/2006/relationships" r:embed="rId6"/>
                <a:stretch>
                  <a:fillRect/>
                </a:stretch>
              </a:blipFill>
              <a:ln>
                <a:noFill/>
              </a:ln>
              <a:effectLst/>
            </c:spPr>
          </c:dPt>
          <c:dPt>
            <c:idx val="4"/>
            <c:invertIfNegative val="0"/>
            <c:bubble3D val="0"/>
            <c:spPr>
              <a:blipFill>
                <a:blip xmlns:r="http://schemas.openxmlformats.org/officeDocument/2006/relationships" r:embed="rId7"/>
                <a:stretch>
                  <a:fillRect/>
                </a:stretch>
              </a:blipFill>
              <a:ln>
                <a:noFill/>
              </a:ln>
              <a:effectLst/>
            </c:spPr>
          </c:dPt>
          <c:dLbls>
            <c:dLbl>
              <c:idx val="0"/>
              <c:layout/>
              <c:tx>
                <c:rich>
                  <a:bodyPr rot="0" spcFirstLastPara="1"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39.40%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Sheet5!$C$84:$C$88</c:f>
              <c:strCache>
                <c:ptCount val="5"/>
                <c:pt idx="0">
                  <c:v>非常关注</c:v>
                </c:pt>
                <c:pt idx="1">
                  <c:v>关注</c:v>
                </c:pt>
                <c:pt idx="2">
                  <c:v>比较关注</c:v>
                </c:pt>
                <c:pt idx="3">
                  <c:v>不太关注</c:v>
                </c:pt>
                <c:pt idx="4">
                  <c:v>一点也不关注</c:v>
                </c:pt>
              </c:strCache>
            </c:strRef>
          </c:cat>
          <c:val>
            <c:numRef>
              <c:f>Sheet5!$F$84:$F$88</c:f>
              <c:numCache>
                <c:formatCode>0.00%</c:formatCode>
                <c:ptCount val="5"/>
                <c:pt idx="0">
                  <c:v>0.393939393939394</c:v>
                </c:pt>
                <c:pt idx="1">
                  <c:v>0.404040404040404</c:v>
                </c:pt>
                <c:pt idx="2">
                  <c:v>0.181818181818182</c:v>
                </c:pt>
                <c:pt idx="3">
                  <c:v>0.0101010101010101</c:v>
                </c:pt>
                <c:pt idx="4">
                  <c:v>0.0101010101010101</c:v>
                </c:pt>
              </c:numCache>
            </c:numRef>
          </c:val>
        </c:ser>
        <c:dLbls>
          <c:showLegendKey val="0"/>
          <c:showVal val="1"/>
          <c:showCatName val="0"/>
          <c:showSerName val="0"/>
          <c:showPercent val="0"/>
          <c:showBubbleSize val="0"/>
        </c:dLbls>
        <c:gapWidth val="0"/>
        <c:overlap val="100"/>
        <c:axId val="349605248"/>
        <c:axId val="349619328"/>
      </c:barChart>
      <c:catAx>
        <c:axId val="349605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幼圆" panose="02010509060101010101" pitchFamily="1" charset="-122"/>
                <a:ea typeface="幼圆" panose="02010509060101010101" pitchFamily="1" charset="-122"/>
                <a:cs typeface="+mn-cs"/>
              </a:defRPr>
            </a:pPr>
          </a:p>
        </c:txPr>
        <c:crossAx val="349619328"/>
        <c:crosses val="autoZero"/>
        <c:auto val="1"/>
        <c:lblAlgn val="ctr"/>
        <c:lblOffset val="100"/>
        <c:noMultiLvlLbl val="0"/>
      </c:catAx>
      <c:valAx>
        <c:axId val="349619328"/>
        <c:scaling>
          <c:orientation val="minMax"/>
        </c:scaling>
        <c:delete val="1"/>
        <c:axPos val="l"/>
        <c:numFmt formatCode="0.00%"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49605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仙桃职业学院作图!$E$7:$E$14</c:f>
              <c:strCache>
                <c:ptCount val="8"/>
                <c:pt idx="0">
                  <c:v>综合素质</c:v>
                </c:pt>
                <c:pt idx="1">
                  <c:v>所学专业</c:v>
                </c:pt>
                <c:pt idx="2">
                  <c:v>学习成绩</c:v>
                </c:pt>
                <c:pt idx="3">
                  <c:v>社会适应能力</c:v>
                </c:pt>
                <c:pt idx="4">
                  <c:v>学历层次</c:v>
                </c:pt>
                <c:pt idx="5">
                  <c:v>在校获奖情况</c:v>
                </c:pt>
                <c:pt idx="6">
                  <c:v>是否学生干部</c:v>
                </c:pt>
                <c:pt idx="7">
                  <c:v>社会关系</c:v>
                </c:pt>
              </c:strCache>
            </c:strRef>
          </c:cat>
          <c:val>
            <c:numRef>
              <c:f>仙桃职业学院作图!$G$7:$G$14</c:f>
              <c:numCache>
                <c:formatCode>0.00%</c:formatCode>
                <c:ptCount val="8"/>
                <c:pt idx="0">
                  <c:v>0.231578947368421</c:v>
                </c:pt>
                <c:pt idx="1">
                  <c:v>0.210526315789474</c:v>
                </c:pt>
                <c:pt idx="2">
                  <c:v>0.2</c:v>
                </c:pt>
                <c:pt idx="3">
                  <c:v>0.140350877192982</c:v>
                </c:pt>
                <c:pt idx="4">
                  <c:v>0.119298245614035</c:v>
                </c:pt>
                <c:pt idx="5">
                  <c:v>0.0596491228070175</c:v>
                </c:pt>
                <c:pt idx="6">
                  <c:v>0.0245614035087719</c:v>
                </c:pt>
                <c:pt idx="7">
                  <c:v>0.0140350877192982</c:v>
                </c:pt>
              </c:numCache>
            </c:numRef>
          </c:val>
        </c:ser>
        <c:dLbls>
          <c:showLegendKey val="0"/>
          <c:showVal val="1"/>
          <c:showCatName val="0"/>
          <c:showSerName val="0"/>
          <c:showPercent val="0"/>
          <c:showBubbleSize val="0"/>
        </c:dLbls>
        <c:gapWidth val="115"/>
        <c:overlap val="-20"/>
        <c:axId val="349926144"/>
        <c:axId val="349927680"/>
      </c:barChart>
      <c:catAx>
        <c:axId val="349926144"/>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9927680"/>
        <c:crosses val="autoZero"/>
        <c:auto val="1"/>
        <c:lblAlgn val="ctr"/>
        <c:lblOffset val="100"/>
        <c:noMultiLvlLbl val="0"/>
      </c:catAx>
      <c:valAx>
        <c:axId val="349927680"/>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9926144"/>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Sheet4!$C$140</c:f>
              <c:strCache>
                <c:ptCount val="1"/>
                <c:pt idx="0">
                  <c:v>敬业精神 </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Sheet4!$E$140</c:f>
              <c:numCache>
                <c:formatCode>0.00%</c:formatCode>
                <c:ptCount val="1"/>
                <c:pt idx="0">
                  <c:v>0.204152249134948</c:v>
                </c:pt>
              </c:numCache>
            </c:numRef>
          </c:val>
        </c:ser>
        <c:ser>
          <c:idx val="1"/>
          <c:order val="1"/>
          <c:tx>
            <c:strRef>
              <c:f>Sheet4!$C$141</c:f>
              <c:strCache>
                <c:ptCount val="1"/>
                <c:pt idx="0">
                  <c:v>有责任感   </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Sheet4!$E$141</c:f>
              <c:numCache>
                <c:formatCode>0.00%</c:formatCode>
                <c:ptCount val="1"/>
                <c:pt idx="0">
                  <c:v>0.197231833910035</c:v>
                </c:pt>
              </c:numCache>
            </c:numRef>
          </c:val>
        </c:ser>
        <c:ser>
          <c:idx val="2"/>
          <c:order val="2"/>
          <c:tx>
            <c:strRef>
              <c:f>Sheet4!$C$142</c:f>
              <c:strCache>
                <c:ptCount val="1"/>
                <c:pt idx="0">
                  <c:v>诚实守信   </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Sheet4!$E$142</c:f>
              <c:numCache>
                <c:formatCode>0.00%</c:formatCode>
                <c:ptCount val="1"/>
                <c:pt idx="0">
                  <c:v>0.173010380622838</c:v>
                </c:pt>
              </c:numCache>
            </c:numRef>
          </c:val>
        </c:ser>
        <c:ser>
          <c:idx val="3"/>
          <c:order val="3"/>
          <c:tx>
            <c:strRef>
              <c:f>Sheet4!$C$143</c:f>
              <c:strCache>
                <c:ptCount val="1"/>
                <c:pt idx="0">
                  <c:v>严谨踏实   </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Sheet4!$E$143</c:f>
              <c:numCache>
                <c:formatCode>0.00%</c:formatCode>
                <c:ptCount val="1"/>
                <c:pt idx="0">
                  <c:v>0.15916955017301</c:v>
                </c:pt>
              </c:numCache>
            </c:numRef>
          </c:val>
        </c:ser>
        <c:ser>
          <c:idx val="4"/>
          <c:order val="4"/>
          <c:tx>
            <c:strRef>
              <c:f>Sheet4!$C$144</c:f>
              <c:strCache>
                <c:ptCount val="1"/>
                <c:pt idx="0">
                  <c:v>对单位忠诚度   </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Sheet4!$E$144</c:f>
              <c:numCache>
                <c:formatCode>0.00%</c:formatCode>
                <c:ptCount val="1"/>
                <c:pt idx="0">
                  <c:v>0.114186851211073</c:v>
                </c:pt>
              </c:numCache>
            </c:numRef>
          </c:val>
        </c:ser>
        <c:ser>
          <c:idx val="5"/>
          <c:order val="5"/>
          <c:tx>
            <c:strRef>
              <c:f>Sheet4!$C$145</c:f>
              <c:strCache>
                <c:ptCount val="1"/>
                <c:pt idx="0">
                  <c:v>乐观向上   </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Sheet4!$E$145</c:f>
              <c:numCache>
                <c:formatCode>0.00%</c:formatCode>
                <c:ptCount val="1"/>
                <c:pt idx="0">
                  <c:v>0.069204152249135</c:v>
                </c:pt>
              </c:numCache>
            </c:numRef>
          </c:val>
        </c:ser>
        <c:ser>
          <c:idx val="6"/>
          <c:order val="6"/>
          <c:tx>
            <c:strRef>
              <c:f>Sheet4!$C$146</c:f>
              <c:strCache>
                <c:ptCount val="1"/>
                <c:pt idx="0">
                  <c:v>具有人文修养  </c:v>
                </c:pt>
              </c:strCache>
            </c:strRef>
          </c:tx>
          <c:spPr>
            <a:solidFill>
              <a:schemeClr val="accent6">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Sheet4!$E$146</c:f>
              <c:numCache>
                <c:formatCode>0.00%</c:formatCode>
                <c:ptCount val="1"/>
                <c:pt idx="0">
                  <c:v>0.041522491349481</c:v>
                </c:pt>
              </c:numCache>
            </c:numRef>
          </c:val>
        </c:ser>
        <c:ser>
          <c:idx val="7"/>
          <c:order val="7"/>
          <c:tx>
            <c:strRef>
              <c:f>Sheet4!$C$147</c:f>
              <c:strCache>
                <c:ptCount val="1"/>
                <c:pt idx="0">
                  <c:v>乐于助人   </c:v>
                </c:pt>
              </c:strCache>
            </c:strRef>
          </c:tx>
          <c:spPr>
            <a:solidFill>
              <a:schemeClr val="accent5">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Sheet4!$E$147</c:f>
              <c:numCache>
                <c:formatCode>0.00%</c:formatCode>
                <c:ptCount val="1"/>
                <c:pt idx="0">
                  <c:v>0.0380622837370242</c:v>
                </c:pt>
              </c:numCache>
            </c:numRef>
          </c:val>
        </c:ser>
        <c:ser>
          <c:idx val="8"/>
          <c:order val="8"/>
          <c:tx>
            <c:strRef>
              <c:f>Sheet4!$C$148</c:f>
              <c:strCache>
                <c:ptCount val="1"/>
                <c:pt idx="0">
                  <c:v>其他</c:v>
                </c:pt>
              </c:strCache>
            </c:strRef>
          </c:tx>
          <c:spPr>
            <a:solidFill>
              <a:schemeClr val="accent4">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val>
            <c:numRef>
              <c:f>Sheet4!$E$148</c:f>
              <c:numCache>
                <c:formatCode>0.00%</c:formatCode>
                <c:ptCount val="1"/>
                <c:pt idx="0">
                  <c:v>0.00346020761245675</c:v>
                </c:pt>
              </c:numCache>
            </c:numRef>
          </c:val>
        </c:ser>
        <c:dLbls>
          <c:showLegendKey val="0"/>
          <c:showVal val="1"/>
          <c:showCatName val="0"/>
          <c:showSerName val="0"/>
          <c:showPercent val="0"/>
          <c:showBubbleSize val="0"/>
        </c:dLbls>
        <c:gapWidth val="219"/>
        <c:overlap val="-27"/>
        <c:axId val="350116480"/>
        <c:axId val="350142848"/>
      </c:barChart>
      <c:catAx>
        <c:axId val="350116480"/>
        <c:scaling>
          <c:orientation val="minMax"/>
        </c:scaling>
        <c:delete val="1"/>
        <c:axPos val="b"/>
        <c:numFmt formatCode="General"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50142848"/>
        <c:crosses val="autoZero"/>
        <c:auto val="1"/>
        <c:lblAlgn val="ctr"/>
        <c:lblOffset val="100"/>
        <c:noMultiLvlLbl val="0"/>
      </c:catAx>
      <c:valAx>
        <c:axId val="350142848"/>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01164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ofPieChart>
        <c:ofPieType val="pie"/>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chemeClr val="accent3">
                  <a:lumMod val="60000"/>
                </a:schemeClr>
              </a:solidFill>
              <a:ln w="19050">
                <a:solidFill>
                  <a:schemeClr val="lt1"/>
                </a:solidFill>
              </a:ln>
              <a:effectLst/>
            </c:spPr>
          </c:dPt>
          <c:dPt>
            <c:idx val="9"/>
            <c:bubble3D val="0"/>
            <c:spPr>
              <a:solidFill>
                <a:schemeClr val="accent4">
                  <a:lumMod val="60000"/>
                </a:schemeClr>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Sheet4!$D$159:$D$167</c:f>
              <c:strCache>
                <c:ptCount val="9"/>
                <c:pt idx="0">
                  <c:v>专业理论基础   </c:v>
                </c:pt>
                <c:pt idx="1">
                  <c:v>专业应用技能  </c:v>
                </c:pt>
                <c:pt idx="2">
                  <c:v>职业资格证书  </c:v>
                </c:pt>
                <c:pt idx="3">
                  <c:v>社会实践经历  </c:v>
                </c:pt>
                <c:pt idx="4">
                  <c:v>专业前沿知识  </c:v>
                </c:pt>
                <c:pt idx="5">
                  <c:v>计算机应用能力  </c:v>
                </c:pt>
                <c:pt idx="6">
                  <c:v>人文社会知识  </c:v>
                </c:pt>
                <c:pt idx="7">
                  <c:v>外语水平  </c:v>
                </c:pt>
                <c:pt idx="8">
                  <c:v>其他</c:v>
                </c:pt>
              </c:strCache>
            </c:strRef>
          </c:cat>
          <c:val>
            <c:numRef>
              <c:f>Sheet4!$F$159:$F$167</c:f>
              <c:numCache>
                <c:formatCode>0.00%</c:formatCode>
                <c:ptCount val="9"/>
                <c:pt idx="0">
                  <c:v>0.25</c:v>
                </c:pt>
                <c:pt idx="1">
                  <c:v>0.183823529411765</c:v>
                </c:pt>
                <c:pt idx="2">
                  <c:v>0.154411764705882</c:v>
                </c:pt>
                <c:pt idx="3">
                  <c:v>0.147058823529412</c:v>
                </c:pt>
                <c:pt idx="4">
                  <c:v>0.121323529411765</c:v>
                </c:pt>
                <c:pt idx="5">
                  <c:v>0.0661764705882353</c:v>
                </c:pt>
                <c:pt idx="6">
                  <c:v>0.0477941176470588</c:v>
                </c:pt>
                <c:pt idx="7">
                  <c:v>0.0183823529411765</c:v>
                </c:pt>
                <c:pt idx="8">
                  <c:v>0.0110294117647059</c:v>
                </c:pt>
              </c:numCache>
            </c:numRef>
          </c:val>
        </c:ser>
        <c:dLbls>
          <c:showLegendKey val="0"/>
          <c:showVal val="1"/>
          <c:showCatName val="0"/>
          <c:showSerName val="0"/>
          <c:showPercent val="0"/>
          <c:showBubbleSize val="0"/>
          <c:showLeaderLines val="1"/>
        </c:dLbls>
        <c:gapWidth val="150"/>
        <c:secondPieSize val="75"/>
        <c:serLines>
          <c:spPr>
            <a:ln w="9525" cap="flat" cmpd="sng" algn="ctr">
              <a:solidFill>
                <a:schemeClr val="tx1">
                  <a:lumMod val="35000"/>
                  <a:lumOff val="65000"/>
                </a:schemeClr>
              </a:solidFill>
              <a:prstDash val="solid"/>
              <a:round/>
            </a:ln>
            <a:effectLst/>
          </c:spPr>
        </c:serLines>
      </c:of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63611111111111"/>
          <c:y val="0.0951388888888889"/>
          <c:w val="0.447916666666667"/>
          <c:h val="0.746527777777778"/>
        </c:manualLayout>
      </c:layout>
      <c:doughnutChart>
        <c:varyColors val="1"/>
        <c:ser>
          <c:idx val="0"/>
          <c:order val="0"/>
          <c:explosion val="0"/>
          <c:dPt>
            <c:idx val="0"/>
            <c:bubble3D val="0"/>
            <c:spPr>
              <a:solidFill>
                <a:schemeClr val="accent6"/>
              </a:solidFill>
              <a:ln w="19050">
                <a:solidFill>
                  <a:schemeClr val="lt1"/>
                </a:solidFill>
              </a:ln>
              <a:effectLst/>
            </c:spPr>
          </c:dPt>
          <c:dPt>
            <c:idx val="1"/>
            <c:bubble3D val="0"/>
            <c:spPr>
              <a:solidFill>
                <a:schemeClr val="accent5"/>
              </a:solidFill>
              <a:ln w="19050">
                <a:solidFill>
                  <a:schemeClr val="lt1"/>
                </a:solidFill>
              </a:ln>
              <a:effectLst/>
            </c:spPr>
          </c:dPt>
          <c:dPt>
            <c:idx val="2"/>
            <c:bubble3D val="0"/>
            <c:spPr>
              <a:solidFill>
                <a:schemeClr val="accent4"/>
              </a:solidFill>
              <a:ln w="19050">
                <a:solidFill>
                  <a:schemeClr val="lt1"/>
                </a:solidFill>
              </a:ln>
              <a:effectLst/>
            </c:spPr>
          </c:dPt>
          <c:dPt>
            <c:idx val="3"/>
            <c:bubble3D val="0"/>
            <c:spPr>
              <a:solidFill>
                <a:schemeClr val="accent6">
                  <a:lumMod val="60000"/>
                </a:schemeClr>
              </a:solidFill>
              <a:ln w="19050">
                <a:solidFill>
                  <a:schemeClr val="lt1"/>
                </a:solidFill>
              </a:ln>
              <a:effectLst/>
            </c:spPr>
          </c:dPt>
          <c:dLbls>
            <c:dLbl>
              <c:idx val="0"/>
              <c:layout/>
              <c:tx>
                <c:rich>
                  <a:bodyPr rot="0" spcFirstLastPara="1" vertOverflow="ellipsis" vert="horz" wrap="square" lIns="38100" tIns="19050" rIns="38100" bIns="19050" anchor="ctr" anchorCtr="1"/>
                  <a:lstStyle/>
                  <a:p>
                    <a:fld id="{e8e4dd6e-5de7-42ba-98c4-c70051272b0d}" type="SERIESNAME">
                      <a:t>[SERIES NAME]</a:t>
                    </a:fld>
                    <a:r>
                      <a:t>,</a:t>
                    </a:r>
                    <a:fld id="{0f972327-8a59-475b-8f3c-6019e41b873d}" type="VALUE">
                      <a:t>[VALUE]</a:t>
                    </a:fld>
                    <a:endParaRPr b="0" i="0" u="none" strike="noStrike" baseline="0">
                      <a:latin typeface="Times New Roman" panose="02020603050405020304" charset="0"/>
                      <a:ea typeface="Times New Roman" panose="02020603050405020304" charset="0"/>
                      <a:cs typeface="+mn-ea"/>
                    </a:endParaRPr>
                  </a:p>
                </c:rich>
              </c:tx>
              <c:showLegendKey val="0"/>
              <c:showVal val="1"/>
              <c:showCatName val="0"/>
              <c:showSerName val="1"/>
              <c:showPercent val="0"/>
              <c:showBubbleSize val="0"/>
              <c:extLst>
                <c:ext xmlns:c15="http://schemas.microsoft.com/office/drawing/2012/chart" uri="{CE6537A1-D6FC-4f65-9D91-7224C49458BB}"/>
              </c:extLst>
            </c:dLbl>
            <c:dLbl>
              <c:idx val="1"/>
              <c:layout/>
              <c:tx>
                <c:rich>
                  <a:bodyPr rot="0" spcFirstLastPara="1" vertOverflow="ellipsis" vert="horz" wrap="square" lIns="38100" tIns="19050" rIns="38100" bIns="19050" anchor="ctr" anchorCtr="1"/>
                  <a:lstStyle/>
                  <a:p>
                    <a:fld id="{e54e6125-0d61-46c0-bfe7-5477b2e4a864}" type="SERIESNAME">
                      <a:t>[SERIES NAME]</a:t>
                    </a:fld>
                    <a:r>
                      <a:t>,</a:t>
                    </a:r>
                    <a:fld id="{870830e2-e15d-49f1-a55b-ae5d69309505}" type="VALUE">
                      <a:t>[VALUE]</a:t>
                    </a:fld>
                    <a:endParaRPr b="0" i="0" u="none" strike="noStrike" baseline="0">
                      <a:latin typeface="Times New Roman" panose="02020603050405020304" charset="0"/>
                      <a:ea typeface="Times New Roman" panose="02020603050405020304" charset="0"/>
                      <a:cs typeface="+mn-ea"/>
                    </a:endParaRPr>
                  </a:p>
                </c:rich>
              </c:tx>
              <c:showLegendKey val="0"/>
              <c:showVal val="1"/>
              <c:showCatName val="0"/>
              <c:showSerName val="1"/>
              <c:showPercent val="0"/>
              <c:showBubbleSize val="0"/>
              <c:extLst>
                <c:ext xmlns:c15="http://schemas.microsoft.com/office/drawing/2012/chart" uri="{CE6537A1-D6FC-4f65-9D91-7224C49458BB}"/>
              </c:extLst>
            </c:dLbl>
            <c:dLbl>
              <c:idx val="2"/>
              <c:layout>
                <c:manualLayout>
                  <c:x val="-0.0694444444444445"/>
                  <c:y val="-0.0624999999999999"/>
                </c:manualLayout>
              </c:layout>
              <c:tx>
                <c:rich>
                  <a:bodyPr rot="0" spcFirstLastPara="1" vertOverflow="ellipsis" vert="horz" wrap="square" lIns="38100" tIns="19050" rIns="38100" bIns="19050" anchor="ctr" anchorCtr="1"/>
                  <a:lstStyle/>
                  <a:p>
                    <a:fld id="{daa8171c-447e-4401-be25-a755866f0c6f}" type="SERIESNAME">
                      <a:t>[SERIES NAME]</a:t>
                    </a:fld>
                    <a:r>
                      <a:t>,</a:t>
                    </a:r>
                    <a:fld id="{672692e2-6dda-46ca-83ea-26121655d3c2}" type="VALUE">
                      <a:t>[VALUE]</a:t>
                    </a:fld>
                    <a:endParaRPr b="0" i="0" u="none" strike="noStrike" baseline="0">
                      <a:latin typeface="Times New Roman" panose="02020603050405020304" charset="0"/>
                      <a:ea typeface="Times New Roman" panose="02020603050405020304" charset="0"/>
                      <a:cs typeface="+mn-ea"/>
                    </a:endParaRPr>
                  </a:p>
                </c:rich>
              </c:tx>
              <c:showLegendKey val="0"/>
              <c:showVal val="1"/>
              <c:showCatName val="0"/>
              <c:showSerName val="1"/>
              <c:showPercent val="0"/>
              <c:showBubbleSize val="0"/>
              <c:extLst>
                <c:ext xmlns:c15="http://schemas.microsoft.com/office/drawing/2012/chart" uri="{CE6537A1-D6FC-4f65-9D91-7224C49458BB}">
                  <c15:layout/>
                </c:ext>
              </c:extLst>
            </c:dLbl>
            <c:dLbl>
              <c:idx val="3"/>
              <c:layout>
                <c:manualLayout>
                  <c:x val="0.103472222222222"/>
                  <c:y val="-0.0634439430973646"/>
                </c:manualLayout>
              </c:layout>
              <c:tx>
                <c:rich>
                  <a:bodyPr rot="0" spcFirstLastPara="1" vertOverflow="ellipsis" vert="horz" wrap="square" lIns="38100" tIns="19050" rIns="38100" bIns="19050" anchor="ctr" anchorCtr="1"/>
                  <a:lstStyle/>
                  <a:p>
                    <a:fld id="{562fd56c-9d8a-468e-9db5-298d36425a10}" type="SERIESNAME">
                      <a:t>[SERIES NAME]</a:t>
                    </a:fld>
                    <a:r>
                      <a:t>,</a:t>
                    </a:r>
                    <a:fld id="{d50a5036-964e-4d43-93f1-654518efdebc}" type="VALUE">
                      <a:t>[VALUE]</a:t>
                    </a:fld>
                    <a:endParaRPr b="0" i="0" u="none" strike="noStrike" baseline="0">
                      <a:latin typeface="Times New Roman" panose="02020603050405020304" charset="0"/>
                      <a:ea typeface="Times New Roman" panose="02020603050405020304" charset="0"/>
                      <a:cs typeface="+mn-ea"/>
                    </a:endParaRPr>
                  </a:p>
                </c:rich>
              </c:tx>
              <c:showLegendKey val="0"/>
              <c:showVal val="1"/>
              <c:showCatName val="0"/>
              <c:showSerName val="1"/>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showLegendKey val="0"/>
            <c:showVal val="1"/>
            <c:showCatName val="0"/>
            <c:showSerName val="1"/>
            <c:showPercent val="0"/>
            <c:showBubbleSize val="0"/>
            <c:showLeaderLines val="1"/>
            <c:extLst>
              <c:ext xmlns:c15="http://schemas.microsoft.com/office/drawing/2012/chart" uri="{CE6537A1-D6FC-4f65-9D91-7224C49458BB}">
                <c15:layout/>
                <c15:showLeaderLines val="1"/>
                <c15:leaderLines/>
              </c:ext>
            </c:extLst>
          </c:dLbls>
          <c:cat>
            <c:strRef>
              <c:f>Sheet3!$C$114:$C$117</c:f>
              <c:strCache>
                <c:ptCount val="4"/>
                <c:pt idx="0">
                  <c:v>非困难生</c:v>
                </c:pt>
                <c:pt idx="1">
                  <c:v>家庭困难</c:v>
                </c:pt>
                <c:pt idx="2">
                  <c:v>就业困难</c:v>
                </c:pt>
                <c:pt idx="3">
                  <c:v>残疾</c:v>
                </c:pt>
              </c:strCache>
            </c:strRef>
          </c:cat>
          <c:val>
            <c:numRef>
              <c:f>Sheet3!$E$114:$E$117</c:f>
              <c:numCache>
                <c:formatCode>0.00%</c:formatCode>
                <c:ptCount val="4"/>
                <c:pt idx="0">
                  <c:v>0.663698426832889</c:v>
                </c:pt>
                <c:pt idx="1">
                  <c:v>0.292074799643812</c:v>
                </c:pt>
                <c:pt idx="2">
                  <c:v>0.0427426536064114</c:v>
                </c:pt>
                <c:pt idx="3">
                  <c:v>0.00148411991688929</c:v>
                </c:pt>
              </c:numCache>
            </c:numRef>
          </c:val>
        </c:ser>
        <c:dLbls>
          <c:showLegendKey val="0"/>
          <c:showVal val="1"/>
          <c:showCatName val="0"/>
          <c:showSerName val="1"/>
          <c:showPercent val="0"/>
          <c:showBubbleSize val="0"/>
          <c:showLeaderLines val="1"/>
        </c:dLbls>
        <c:firstSliceAng val="0"/>
        <c:holeSize val="75"/>
      </c:doughnut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a:sp3d/>
          </c:spPr>
          <c:invertIfNegative val="0"/>
          <c:dLbls>
            <c:dLbl>
              <c:idx val="2"/>
              <c:layout/>
              <c:tx>
                <c:rich>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37.38%</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Sheet4!$D$181:$D$184</c:f>
              <c:strCache>
                <c:ptCount val="4"/>
                <c:pt idx="0">
                  <c:v>非常认可</c:v>
                </c:pt>
                <c:pt idx="1">
                  <c:v>比较认可</c:v>
                </c:pt>
                <c:pt idx="2">
                  <c:v>认可</c:v>
                </c:pt>
                <c:pt idx="3">
                  <c:v>不认可</c:v>
                </c:pt>
              </c:strCache>
            </c:strRef>
          </c:cat>
          <c:val>
            <c:numRef>
              <c:f>Sheet4!$G$181:$G$184</c:f>
              <c:numCache>
                <c:formatCode>0.00%</c:formatCode>
                <c:ptCount val="4"/>
                <c:pt idx="0">
                  <c:v>0.333333333333333</c:v>
                </c:pt>
                <c:pt idx="1">
                  <c:v>0.272727272727273</c:v>
                </c:pt>
                <c:pt idx="2">
                  <c:v>0.373737373737374</c:v>
                </c:pt>
                <c:pt idx="3">
                  <c:v>0.0202020202020202</c:v>
                </c:pt>
              </c:numCache>
            </c:numRef>
          </c:val>
        </c:ser>
        <c:dLbls>
          <c:showLegendKey val="0"/>
          <c:showVal val="1"/>
          <c:showCatName val="0"/>
          <c:showSerName val="0"/>
          <c:showPercent val="0"/>
          <c:showBubbleSize val="0"/>
        </c:dLbls>
        <c:gapWidth val="150"/>
        <c:axId val="350265344"/>
        <c:axId val="350266880"/>
      </c:barChart>
      <c:catAx>
        <c:axId val="350265344"/>
        <c:scaling>
          <c:orientation val="minMax"/>
        </c:scaling>
        <c:delete val="0"/>
        <c:axPos val="b"/>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0266880"/>
        <c:crosses val="autoZero"/>
        <c:auto val="1"/>
        <c:lblAlgn val="ctr"/>
        <c:lblOffset val="100"/>
        <c:noMultiLvlLbl val="0"/>
      </c:catAx>
      <c:valAx>
        <c:axId val="350266880"/>
        <c:scaling>
          <c:orientation val="minMax"/>
        </c:scaling>
        <c:delete val="0"/>
        <c:axPos val="l"/>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02653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radarChart>
        <c:radarStyle val="marker"/>
        <c:varyColors val="0"/>
        <c:ser>
          <c:idx val="0"/>
          <c:order val="0"/>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Lbl>
              <c:idx val="0"/>
              <c:layout>
                <c:manualLayout>
                  <c:x val="0.0361111111111111"/>
                  <c:y val="0.080952380952381"/>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555555555555556"/>
                  <c:y val="0.0714285714285714"/>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Sheet4!$C$201:$C$208</c:f>
              <c:strCache>
                <c:ptCount val="8"/>
                <c:pt idx="0">
                  <c:v>观察能力</c:v>
                </c:pt>
                <c:pt idx="1">
                  <c:v>新知识接受能力</c:v>
                </c:pt>
                <c:pt idx="2">
                  <c:v>知识融会贯通能力</c:v>
                </c:pt>
                <c:pt idx="3">
                  <c:v>组织协调能力</c:v>
                </c:pt>
                <c:pt idx="4">
                  <c:v>勇于挑战的精神</c:v>
                </c:pt>
                <c:pt idx="5">
                  <c:v>想象能力</c:v>
                </c:pt>
                <c:pt idx="6">
                  <c:v>抗压抗挫能力</c:v>
                </c:pt>
                <c:pt idx="7">
                  <c:v>逻辑思维能力</c:v>
                </c:pt>
              </c:strCache>
            </c:strRef>
          </c:cat>
          <c:val>
            <c:numRef>
              <c:f>Sheet4!$D$201:$D$208</c:f>
              <c:numCache>
                <c:formatCode>0.00</c:formatCode>
                <c:ptCount val="8"/>
                <c:pt idx="0">
                  <c:v>4.64646464646465</c:v>
                </c:pt>
                <c:pt idx="1">
                  <c:v>4.5959595959596</c:v>
                </c:pt>
                <c:pt idx="2">
                  <c:v>4.4949494949495</c:v>
                </c:pt>
                <c:pt idx="3">
                  <c:v>4.4949494949495</c:v>
                </c:pt>
                <c:pt idx="4">
                  <c:v>4.48484848484849</c:v>
                </c:pt>
                <c:pt idx="5">
                  <c:v>4.39393939393939</c:v>
                </c:pt>
                <c:pt idx="6">
                  <c:v>4.34343434343434</c:v>
                </c:pt>
                <c:pt idx="7">
                  <c:v>4.26262626262626</c:v>
                </c:pt>
              </c:numCache>
            </c:numRef>
          </c:val>
        </c:ser>
        <c:dLbls>
          <c:showLegendKey val="0"/>
          <c:showVal val="1"/>
          <c:showCatName val="0"/>
          <c:showSerName val="0"/>
          <c:showPercent val="0"/>
          <c:showBubbleSize val="0"/>
        </c:dLbls>
        <c:axId val="350295936"/>
        <c:axId val="350297472"/>
      </c:radarChart>
      <c:catAx>
        <c:axId val="350295936"/>
        <c:scaling>
          <c:orientation val="minMax"/>
        </c:scaling>
        <c:delete val="0"/>
        <c:axPos val="b"/>
        <c:numFmt formatCode="General" sourceLinked="1"/>
        <c:majorTickMark val="none"/>
        <c:minorTickMark val="none"/>
        <c:tickLblPos val="nextTo"/>
        <c:spPr>
          <a:noFill/>
          <a:ln w="2540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0297472"/>
        <c:crosses val="autoZero"/>
        <c:auto val="1"/>
        <c:lblAlgn val="ctr"/>
        <c:lblOffset val="100"/>
        <c:noMultiLvlLbl val="0"/>
      </c:catAx>
      <c:valAx>
        <c:axId val="350297472"/>
        <c:scaling>
          <c:orientation val="minMax"/>
        </c:scaling>
        <c:delete val="1"/>
        <c:axPos val="l"/>
        <c:majorGridlines>
          <c:spPr>
            <a:ln w="9525" cap="flat" cmpd="sng" algn="ctr">
              <a:solidFill>
                <a:schemeClr val="tx1">
                  <a:lumMod val="15000"/>
                  <a:lumOff val="85000"/>
                </a:schemeClr>
              </a:solidFill>
              <a:prstDash val="solid"/>
              <a:round/>
            </a:ln>
            <a:effectLst/>
          </c:spPr>
        </c:majorGridlines>
        <c:minorGridlines>
          <c:spPr>
            <a:ln w="9525" cap="flat" cmpd="sng" algn="ctr">
              <a:solidFill>
                <a:schemeClr val="tx1">
                  <a:lumMod val="5000"/>
                  <a:lumOff val="95000"/>
                </a:schemeClr>
              </a:solidFill>
              <a:prstDash val="solid"/>
              <a:round/>
            </a:ln>
            <a:effectLst/>
          </c:spPr>
        </c:minorGridlines>
        <c:numFmt formatCode="0.00"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502959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90312554680665"/>
          <c:y val="0.187356955380577"/>
          <c:w val="0.411903105861767"/>
          <c:h val="0.72261942257218"/>
        </c:manualLayout>
      </c:layout>
      <c:radarChart>
        <c:radarStyle val="marker"/>
        <c:varyColors val="0"/>
        <c:ser>
          <c:idx val="0"/>
          <c:order val="0"/>
          <c:spPr>
            <a:ln w="38100" cap="rnd" cmpd="sng" algn="ctr">
              <a:solidFill>
                <a:srgbClr val="00B0F0"/>
              </a:solidFill>
              <a:prstDash val="solid"/>
              <a:round/>
            </a:ln>
            <a:effectLst>
              <a:outerShdw blurRad="57150" dist="19050" dir="5400000" algn="ctr" rotWithShape="0">
                <a:sysClr val="windowText" lastClr="000000">
                  <a:alpha val="20000"/>
                </a:sysClr>
              </a:outerShdw>
            </a:effectLst>
          </c:spPr>
          <c:marker>
            <c:symbol val="circle"/>
            <c:size val="9"/>
            <c:spPr>
              <a:solidFill>
                <a:schemeClr val="bg1"/>
              </a:solidFill>
              <a:ln w="38100" cap="flat" cmpd="sng" algn="ctr">
                <a:solidFill>
                  <a:srgbClr val="00B0F0"/>
                </a:solidFill>
                <a:prstDash val="solid"/>
                <a:round/>
              </a:ln>
              <a:effectLst>
                <a:outerShdw blurRad="57150" dist="19050" dir="5400000" algn="ctr" rotWithShape="0">
                  <a:sysClr val="windowText" lastClr="000000">
                    <a:alpha val="20000"/>
                  </a:sysClr>
                </a:outerShdw>
              </a:effectLst>
            </c:spPr>
          </c:marker>
          <c:dLbls>
            <c:dLbl>
              <c:idx val="0"/>
              <c:layout>
                <c:manualLayout>
                  <c:x val="0.05"/>
                  <c:y val="0.0285714285714286"/>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Sheet4!$C$218:$C$222</c:f>
              <c:strCache>
                <c:ptCount val="5"/>
                <c:pt idx="0">
                  <c:v>招聘信息发布</c:v>
                </c:pt>
                <c:pt idx="1">
                  <c:v>毕业生鉴定与推荐</c:v>
                </c:pt>
                <c:pt idx="2">
                  <c:v>对毕业生职业教育和就业指导</c:v>
                </c:pt>
                <c:pt idx="3">
                  <c:v>招聘活动组织</c:v>
                </c:pt>
                <c:pt idx="4">
                  <c:v>就业手续办理</c:v>
                </c:pt>
              </c:strCache>
            </c:strRef>
          </c:cat>
          <c:val>
            <c:numRef>
              <c:f>Sheet4!$D$218:$D$222</c:f>
              <c:numCache>
                <c:formatCode>0.00</c:formatCode>
                <c:ptCount val="5"/>
                <c:pt idx="0">
                  <c:v>4.61616161616162</c:v>
                </c:pt>
                <c:pt idx="1">
                  <c:v>4.43434343434344</c:v>
                </c:pt>
                <c:pt idx="2">
                  <c:v>4.39393939393939</c:v>
                </c:pt>
                <c:pt idx="3">
                  <c:v>4.37373737373737</c:v>
                </c:pt>
                <c:pt idx="4">
                  <c:v>4.26262626262626</c:v>
                </c:pt>
              </c:numCache>
            </c:numRef>
          </c:val>
        </c:ser>
        <c:dLbls>
          <c:showLegendKey val="0"/>
          <c:showVal val="1"/>
          <c:showCatName val="0"/>
          <c:showSerName val="0"/>
          <c:showPercent val="0"/>
          <c:showBubbleSize val="0"/>
        </c:dLbls>
        <c:axId val="350367104"/>
        <c:axId val="350377088"/>
      </c:radarChart>
      <c:catAx>
        <c:axId val="350367104"/>
        <c:scaling>
          <c:orientation val="minMax"/>
        </c:scaling>
        <c:delete val="0"/>
        <c:axPos val="b"/>
        <c:numFmt formatCode="General" sourceLinked="1"/>
        <c:majorTickMark val="none"/>
        <c:minorTickMark val="none"/>
        <c:tickLblPos val="nextTo"/>
        <c:spPr>
          <a:noFill/>
          <a:ln w="2540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Arial" panose="020B0604020202020204" pitchFamily="2" charset="0"/>
                <a:ea typeface="微软雅黑" panose="020B0503020204020204" charset="-122"/>
                <a:cs typeface="+mn-cs"/>
              </a:defRPr>
            </a:pPr>
          </a:p>
        </c:txPr>
        <c:crossAx val="350377088"/>
        <c:crosses val="autoZero"/>
        <c:auto val="1"/>
        <c:lblAlgn val="ctr"/>
        <c:lblOffset val="100"/>
        <c:noMultiLvlLbl val="0"/>
      </c:catAx>
      <c:valAx>
        <c:axId val="350377088"/>
        <c:scaling>
          <c:orientation val="minMax"/>
        </c:scaling>
        <c:delete val="1"/>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50367104"/>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 lastClr="FFFFFF">
          <a:lumMod val="85000"/>
        </a:sysClr>
      </a:solidFill>
      <a:prstDash val="solid"/>
      <a:round/>
    </a:ln>
    <a:effectLst/>
  </c:spPr>
  <c:txPr>
    <a:bodyPr/>
    <a:lstStyle/>
    <a:p>
      <a:pPr>
        <a:defRPr lang="zh-CN"/>
      </a:pPr>
    </a:p>
  </c:txPr>
  <c:externalData r:id="rId1">
    <c:autoUpdate val="0"/>
  </c:externalData>
</c:chartSpace>
</file>

<file path=word/charts/chart5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53115266841645"/>
          <c:y val="0.0253967004124485"/>
          <c:w val="0.542003937007874"/>
          <c:h val="0.947535433070867"/>
        </c:manualLayout>
      </c:layout>
      <c:barChart>
        <c:barDir val="bar"/>
        <c:grouping val="stacked"/>
        <c:varyColors val="0"/>
        <c:ser>
          <c:idx val="0"/>
          <c:order val="0"/>
          <c:spPr>
            <a:solidFill>
              <a:srgbClr val="00B0F0">
                <a:alpha val="74000"/>
              </a:srgbClr>
            </a:solidFill>
            <a:ln>
              <a:solidFill>
                <a:schemeClr val="bg1"/>
              </a:solidFill>
            </a:ln>
            <a:effectLst/>
          </c:spPr>
          <c:invertIfNegative val="0"/>
          <c:dLbls>
            <c:dLbl>
              <c:idx val="3"/>
              <c:layout>
                <c:manualLayout>
                  <c:x val="-0.0102970253718286"/>
                  <c:y val="0"/>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0819116360454943"/>
                  <c:y val="-0.00476115485564304"/>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16246062992126"/>
                  <c:y val="-8.73005787978517e-17"/>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251894138232721"/>
                  <c:y val="0"/>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393506124234471"/>
                  <c:y val="0"/>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Arial" panose="020B0604020202020204" pitchFamily="2" charset="0"/>
                    <a:ea typeface="+mn-ea"/>
                    <a:cs typeface="Arial" panose="020B0604020202020204" pitchFamily="2" charset="0"/>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Sheet4!$D$240:$D$247</c:f>
              <c:strCache>
                <c:ptCount val="8"/>
                <c:pt idx="0">
                  <c:v>增加校园招聘会场次</c:v>
                </c:pt>
                <c:pt idx="1">
                  <c:v>及时更新发布招聘信息</c:v>
                </c:pt>
                <c:pt idx="2">
                  <c:v>加强应届毕业生就业指导</c:v>
                </c:pt>
                <c:pt idx="3">
                  <c:v>加大对应届毕业生的推荐力度</c:v>
                </c:pt>
                <c:pt idx="4">
                  <c:v>接受网络招聘的新型模式</c:v>
                </c:pt>
                <c:pt idx="5">
                  <c:v>提高就业指导教师的专业水平</c:v>
                </c:pt>
                <c:pt idx="6">
                  <c:v>及时办理毕业生就业手续</c:v>
                </c:pt>
                <c:pt idx="7">
                  <c:v>其他</c:v>
                </c:pt>
              </c:strCache>
            </c:strRef>
          </c:cat>
          <c:val>
            <c:numRef>
              <c:f>Sheet4!$G$240:$G$247</c:f>
              <c:numCache>
                <c:formatCode>0.00%</c:formatCode>
                <c:ptCount val="8"/>
                <c:pt idx="0">
                  <c:v>0.300847457627119</c:v>
                </c:pt>
                <c:pt idx="1">
                  <c:v>0.228813559322034</c:v>
                </c:pt>
                <c:pt idx="2">
                  <c:v>0.224576271186441</c:v>
                </c:pt>
                <c:pt idx="3">
                  <c:v>0.105932203389831</c:v>
                </c:pt>
                <c:pt idx="4">
                  <c:v>0.0550847457627119</c:v>
                </c:pt>
                <c:pt idx="5">
                  <c:v>0.038135593220339</c:v>
                </c:pt>
                <c:pt idx="6">
                  <c:v>0.0338983050847458</c:v>
                </c:pt>
                <c:pt idx="7">
                  <c:v>0.0127118644067797</c:v>
                </c:pt>
              </c:numCache>
            </c:numRef>
          </c:val>
        </c:ser>
        <c:dLbls>
          <c:showLegendKey val="0"/>
          <c:showVal val="1"/>
          <c:showCatName val="0"/>
          <c:showSerName val="0"/>
          <c:showPercent val="0"/>
          <c:showBubbleSize val="0"/>
        </c:dLbls>
        <c:gapWidth val="52"/>
        <c:overlap val="100"/>
        <c:axId val="350386816"/>
        <c:axId val="350421376"/>
      </c:barChart>
      <c:catAx>
        <c:axId val="350386816"/>
        <c:scaling>
          <c:orientation val="maxMin"/>
        </c:scaling>
        <c:delete val="0"/>
        <c:axPos val="l"/>
        <c:numFmt formatCode="General" sourceLinked="0"/>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bg1">
                    <a:lumMod val="50000"/>
                  </a:schemeClr>
                </a:solidFill>
                <a:latin typeface="微软雅黑" panose="020B0503020204020204" charset="-122"/>
                <a:ea typeface="微软雅黑" panose="020B0503020204020204" charset="-122"/>
                <a:cs typeface="+mn-cs"/>
              </a:defRPr>
            </a:pPr>
          </a:p>
        </c:txPr>
        <c:crossAx val="350421376"/>
        <c:crosses val="autoZero"/>
        <c:auto val="1"/>
        <c:lblAlgn val="ctr"/>
        <c:lblOffset val="100"/>
        <c:noMultiLvlLbl val="0"/>
      </c:catAx>
      <c:valAx>
        <c:axId val="350421376"/>
        <c:scaling>
          <c:orientation val="minMax"/>
        </c:scaling>
        <c:delete val="1"/>
        <c:axPos val="b"/>
        <c:numFmt formatCode="0.00%" sourceLinked="1"/>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50386816"/>
        <c:crosses val="max"/>
        <c:crossBetween val="between"/>
      </c:valAx>
      <c:spPr>
        <a:noFill/>
        <a:ln>
          <a:noFill/>
        </a:ln>
        <a:effectLst/>
      </c:spPr>
    </c:plotArea>
    <c:plotVisOnly val="1"/>
    <c:dispBlanksAs val="gap"/>
    <c:showDLblsOverMax val="0"/>
  </c:chart>
  <c:spPr>
    <a:ln w="9525" cap="flat" cmpd="sng" algn="ctr">
      <a:solidFill>
        <a:schemeClr val="bg1">
          <a:lumMod val="9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1"/>
          <c:order val="1"/>
          <c:tx>
            <c:strRef>
              <c:f>修改调整!$H$9</c:f>
              <c:strCache>
                <c:ptCount val="1"/>
                <c:pt idx="0">
                  <c:v>毕业人数</c:v>
                </c:pt>
              </c:strCache>
            </c:strRef>
          </c:tx>
          <c:spPr>
            <a:blipFill>
              <a:blip xmlns:r="http://schemas.openxmlformats.org/officeDocument/2006/relationships" r:embed="rId2"/>
              <a:stretch>
                <a:fillRect/>
              </a:stretch>
            </a:blipFill>
            <a:ln>
              <a:noFill/>
            </a:ln>
            <a:effectLst/>
          </c:spPr>
          <c:invertIfNegative val="0"/>
          <c:pictureOptions>
            <c:pictureFormat val="stack"/>
          </c:pictureOptions>
          <c:dLbls>
            <c:dLbl>
              <c:idx val="0"/>
              <c:layout>
                <c:manualLayout>
                  <c:x val="0.208578302712161"/>
                  <c:y val="0.00925925925925918"/>
                </c:manualLayout>
              </c:layout>
              <c:tx>
                <c:rich>
                  <a:bodyPr rot="0" spcFirstLastPara="1" vertOverflow="ellipsis" vert="horz" wrap="square" lIns="38100" tIns="19050" rIns="38100" bIns="19050" anchor="ctr" anchorCtr="1"/>
                  <a:lstStyle/>
                  <a:p>
                    <a:fld id="{f0b486b0-1530-42b8-8c81-c3eda91cc6e5}" type="VALUE">
                      <a:t>[VALUE]</a:t>
                    </a:fld>
                    <a:endParaRPr b="0" i="0" u="none" strike="noStrike" baseline="0">
                      <a:latin typeface="Times New Roman" panose="02020603050405020304" charset="0"/>
                      <a:ea typeface="Times New Roman" panose="02020603050405020304" charset="0"/>
                      <a:cs typeface="+mn-ea"/>
                    </a:endParaRPr>
                  </a:p>
                </c:rich>
              </c:tx>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308250656167979"/>
                  <c:y val="0.00925925925925927"/>
                </c:manualLayout>
              </c:layout>
              <c:tx>
                <c:rich>
                  <a:bodyPr rot="0" spcFirstLastPara="1" vertOverflow="ellipsis" vert="horz" wrap="square" lIns="38100" tIns="19050" rIns="38100" bIns="19050" anchor="ctr" anchorCtr="1"/>
                  <a:lstStyle/>
                  <a:p>
                    <a:fld id="{43b8368c-2af1-4860-b124-32a9db99b70a}" type="VALUE">
                      <a:t>[VALUE]</a:t>
                    </a:fld>
                    <a:endParaRPr b="0" i="0" u="none" strike="noStrike" baseline="0">
                      <a:latin typeface="Times New Roman" panose="02020603050405020304" charset="0"/>
                      <a:ea typeface="Times New Roman" panose="02020603050405020304" charset="0"/>
                      <a:cs typeface="+mn-ea"/>
                    </a:endParaRPr>
                  </a:p>
                </c:rich>
              </c:tx>
              <c:dLblPos val="ct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451265091863517"/>
                  <c:y val="-0.0115740740740741"/>
                </c:manualLayout>
              </c:layout>
              <c:tx>
                <c:rich>
                  <a:bodyPr rot="0" spcFirstLastPara="1" vertOverflow="ellipsis" vert="horz" wrap="square" lIns="38100" tIns="19050" rIns="38100" bIns="19050" anchor="ctr" anchorCtr="1">
                    <a:noAutofit/>
                  </a:bodyPr>
                  <a:lstStyle/>
                  <a:p>
                    <a:fld id="{152fde75-51ff-4c38-ae56-e075097b1a4f}" type="VALUE">
                      <a:t>[VALUE]</a:t>
                    </a:fld>
                    <a:endParaRPr b="0" i="0" u="none" strike="noStrike" baseline="0">
                      <a:latin typeface="Times New Roman" panose="02020603050405020304" charset="0"/>
                      <a:ea typeface="Times New Roman" panose="02020603050405020304" charset="0"/>
                      <a:cs typeface="+mn-ea"/>
                    </a:endParaRPr>
                  </a:p>
                </c:rich>
              </c:tx>
              <c:numFmt formatCode="General" sourceLinked="1"/>
              <c:spPr>
                <a:noFill/>
                <a:ln>
                  <a:noFill/>
                </a:ln>
                <a:effectLst/>
              </c:spPr>
              <c:txPr>
                <a:bodyPr rot="0" spcFirstLastPara="1" vertOverflow="ellipsis" vert="horz" wrap="square" lIns="38100" tIns="19050" rIns="38100" bIns="19050" anchor="ctr" anchorCtr="1">
                  <a:noAutofit/>
                </a:bodyPr>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15:layout>
                    <c:manualLayout>
                      <c:w val="0.18553915135608"/>
                      <c:h val="0.10641221930592"/>
                    </c:manualLayout>
                  </c15:layout>
                </c:ext>
              </c:extLst>
            </c:dLbl>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修改调整!$F$10:$F$12</c:f>
              <c:strCache>
                <c:ptCount val="3"/>
                <c:pt idx="0">
                  <c:v>男</c:v>
                </c:pt>
                <c:pt idx="1">
                  <c:v>女</c:v>
                </c:pt>
                <c:pt idx="2">
                  <c:v>总体</c:v>
                </c:pt>
              </c:strCache>
            </c:strRef>
          </c:cat>
          <c:val>
            <c:numRef>
              <c:f>修改调整!$H$10:$H$12</c:f>
              <c:numCache>
                <c:formatCode>General</c:formatCode>
                <c:ptCount val="3"/>
                <c:pt idx="0">
                  <c:v>1204</c:v>
                </c:pt>
                <c:pt idx="1">
                  <c:v>2165</c:v>
                </c:pt>
                <c:pt idx="2">
                  <c:v>3369</c:v>
                </c:pt>
              </c:numCache>
            </c:numRef>
          </c:val>
        </c:ser>
        <c:dLbls>
          <c:showLegendKey val="0"/>
          <c:showVal val="1"/>
          <c:showCatName val="0"/>
          <c:showSerName val="0"/>
          <c:showPercent val="0"/>
          <c:showBubbleSize val="0"/>
        </c:dLbls>
        <c:gapWidth val="150"/>
        <c:overlap val="100"/>
        <c:axId val="283267072"/>
        <c:axId val="283268608"/>
      </c:barChart>
      <c:barChart>
        <c:barDir val="bar"/>
        <c:grouping val="stacked"/>
        <c:varyColors val="0"/>
        <c:ser>
          <c:idx val="0"/>
          <c:order val="0"/>
          <c:tx>
            <c:strRef>
              <c:f>修改调整!$G$9</c:f>
              <c:strCache>
                <c:ptCount val="1"/>
                <c:pt idx="0">
                  <c:v>就业人数</c:v>
                </c:pt>
              </c:strCache>
            </c:strRef>
          </c:tx>
          <c:spPr>
            <a:blipFill>
              <a:blip xmlns:r="http://schemas.openxmlformats.org/officeDocument/2006/relationships" r:embed="rId3"/>
              <a:stretch>
                <a:fillRect/>
              </a:stretch>
            </a:blipFill>
            <a:ln>
              <a:noFill/>
            </a:ln>
            <a:effectLst/>
          </c:spPr>
          <c:invertIfNegative val="0"/>
          <c:pictureOptions>
            <c:pictureFormat val="stack"/>
          </c:pictureOptions>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修改调整!$F$10:$F$12</c:f>
              <c:strCache>
                <c:ptCount val="3"/>
                <c:pt idx="0">
                  <c:v>男</c:v>
                </c:pt>
                <c:pt idx="1">
                  <c:v>女</c:v>
                </c:pt>
                <c:pt idx="2">
                  <c:v>总体</c:v>
                </c:pt>
              </c:strCache>
            </c:strRef>
          </c:cat>
          <c:val>
            <c:numRef>
              <c:f>修改调整!$G$10:$G$12</c:f>
              <c:numCache>
                <c:formatCode>General</c:formatCode>
                <c:ptCount val="3"/>
                <c:pt idx="0">
                  <c:v>1151</c:v>
                </c:pt>
                <c:pt idx="1">
                  <c:v>2065</c:v>
                </c:pt>
                <c:pt idx="2">
                  <c:v>3216</c:v>
                </c:pt>
              </c:numCache>
            </c:numRef>
          </c:val>
        </c:ser>
        <c:dLbls>
          <c:showLegendKey val="0"/>
          <c:showVal val="1"/>
          <c:showCatName val="0"/>
          <c:showSerName val="0"/>
          <c:showPercent val="0"/>
          <c:showBubbleSize val="0"/>
        </c:dLbls>
        <c:gapWidth val="150"/>
        <c:overlap val="100"/>
        <c:axId val="283276032"/>
        <c:axId val="283270144"/>
      </c:barChart>
      <c:catAx>
        <c:axId val="2832670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268608"/>
        <c:crosses val="autoZero"/>
        <c:auto val="1"/>
        <c:lblAlgn val="ctr"/>
        <c:lblOffset val="100"/>
        <c:noMultiLvlLbl val="0"/>
      </c:catAx>
      <c:valAx>
        <c:axId val="283268608"/>
        <c:scaling>
          <c:orientation val="minMax"/>
        </c:scaling>
        <c:delete val="0"/>
        <c:axPos val="b"/>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267072"/>
        <c:crosses val="autoZero"/>
        <c:crossBetween val="between"/>
      </c:valAx>
      <c:valAx>
        <c:axId val="283270144"/>
        <c:scaling>
          <c:orientation val="minMax"/>
        </c:scaling>
        <c:delete val="1"/>
        <c:axPos val="t"/>
        <c:numFmt formatCode="General" sourceLinked="1"/>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3276032"/>
        <c:crosses val="max"/>
        <c:crossBetween val="between"/>
      </c:valAx>
      <c:catAx>
        <c:axId val="283276032"/>
        <c:scaling>
          <c:orientation val="minMax"/>
        </c:scaling>
        <c:delete val="1"/>
        <c:axPos val="l"/>
        <c:numFmt formatCode="General" sourceLinked="1"/>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3270144"/>
        <c:crosses val="autoZero"/>
        <c:auto val="1"/>
        <c:lblAlgn val="ctr"/>
        <c:lblOffset val="100"/>
        <c:noMultiLvlLbl val="0"/>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7349359199141"/>
          <c:y val="0.0717252499353167"/>
          <c:w val="0.674237326615839"/>
          <c:h val="0.660285637336382"/>
        </c:manualLayout>
      </c:layout>
      <c:barChart>
        <c:barDir val="col"/>
        <c:grouping val="clustered"/>
        <c:varyColors val="0"/>
        <c:ser>
          <c:idx val="0"/>
          <c:order val="0"/>
          <c:tx>
            <c:strRef>
              <c:f>修改调整作图!$N$105</c:f>
              <c:strCache>
                <c:ptCount val="1"/>
                <c:pt idx="0">
                  <c:v>就业人数</c:v>
                </c:pt>
              </c:strCache>
            </c:strRef>
          </c:tx>
          <c:spPr>
            <a:solidFill>
              <a:schemeClr val="accent6"/>
            </a:solidFill>
            <a:ln>
              <a:noFill/>
            </a:ln>
            <a:effectLst/>
          </c:spPr>
          <c:invertIfNegative val="0"/>
          <c:dLbls>
            <c:delete val="1"/>
          </c:dLbls>
          <c:cat>
            <c:strRef>
              <c:f>修改调整作图!$M$106:$M$107</c:f>
              <c:strCache>
                <c:ptCount val="2"/>
                <c:pt idx="0">
                  <c:v>汉族</c:v>
                </c:pt>
                <c:pt idx="1">
                  <c:v>少数民族</c:v>
                </c:pt>
              </c:strCache>
            </c:strRef>
          </c:cat>
          <c:val>
            <c:numRef>
              <c:f>修改调整作图!$N$106:$N$107</c:f>
              <c:numCache>
                <c:formatCode>General</c:formatCode>
                <c:ptCount val="2"/>
                <c:pt idx="0">
                  <c:v>2627</c:v>
                </c:pt>
                <c:pt idx="1">
                  <c:v>589</c:v>
                </c:pt>
              </c:numCache>
            </c:numRef>
          </c:val>
        </c:ser>
        <c:ser>
          <c:idx val="1"/>
          <c:order val="1"/>
          <c:tx>
            <c:strRef>
              <c:f>修改调整作图!$O$105</c:f>
              <c:strCache>
                <c:ptCount val="1"/>
                <c:pt idx="0">
                  <c:v>毕业人数</c:v>
                </c:pt>
              </c:strCache>
            </c:strRef>
          </c:tx>
          <c:spPr>
            <a:solidFill>
              <a:schemeClr val="accent5"/>
            </a:solidFill>
            <a:ln>
              <a:noFill/>
            </a:ln>
            <a:effectLst/>
          </c:spPr>
          <c:invertIfNegative val="0"/>
          <c:dLbls>
            <c:delete val="1"/>
          </c:dLbls>
          <c:cat>
            <c:strRef>
              <c:f>修改调整作图!$M$106:$M$107</c:f>
              <c:strCache>
                <c:ptCount val="2"/>
                <c:pt idx="0">
                  <c:v>汉族</c:v>
                </c:pt>
                <c:pt idx="1">
                  <c:v>少数民族</c:v>
                </c:pt>
              </c:strCache>
            </c:strRef>
          </c:cat>
          <c:val>
            <c:numRef>
              <c:f>修改调整作图!$O$106:$O$107</c:f>
              <c:numCache>
                <c:formatCode>General</c:formatCode>
                <c:ptCount val="2"/>
                <c:pt idx="0">
                  <c:v>2740</c:v>
                </c:pt>
                <c:pt idx="1">
                  <c:v>629</c:v>
                </c:pt>
              </c:numCache>
            </c:numRef>
          </c:val>
        </c:ser>
        <c:dLbls>
          <c:showLegendKey val="0"/>
          <c:showVal val="0"/>
          <c:showCatName val="0"/>
          <c:showSerName val="0"/>
          <c:showPercent val="0"/>
          <c:showBubbleSize val="0"/>
        </c:dLbls>
        <c:gapWidth val="150"/>
        <c:axId val="283295744"/>
        <c:axId val="283297664"/>
      </c:barChart>
      <c:lineChart>
        <c:grouping val="standard"/>
        <c:varyColors val="0"/>
        <c:ser>
          <c:idx val="2"/>
          <c:order val="2"/>
          <c:tx>
            <c:strRef>
              <c:f>修改调整作图!$P$105</c:f>
              <c:strCache>
                <c:ptCount val="1"/>
                <c:pt idx="0">
                  <c:v>就业率</c:v>
                </c:pt>
              </c:strCache>
            </c:strRef>
          </c:tx>
          <c:spPr>
            <a:ln w="38100" cap="rnd" cmpd="sng" algn="ctr">
              <a:solidFill>
                <a:schemeClr val="accent4"/>
              </a:solidFill>
              <a:prstDash val="solid"/>
              <a:round/>
            </a:ln>
            <a:effectLst/>
          </c:spPr>
          <c:marker>
            <c:symbol val="picture"/>
            <c:spPr>
              <a:blipFill>
                <a:blip xmlns:r="http://schemas.openxmlformats.org/officeDocument/2006/relationships" r:embed="rId2"/>
                <a:stretch>
                  <a:fillRect/>
                </a:stretch>
              </a:blipFill>
              <a:ln w="25400" cap="flat" cmpd="sng" algn="ctr">
                <a:noFill/>
                <a:prstDash val="solid"/>
                <a:round/>
              </a:ln>
              <a:effectLst/>
            </c:spPr>
          </c:marker>
          <c:dLbls>
            <c:delete val="1"/>
          </c:dLbls>
          <c:cat>
            <c:strRef>
              <c:f>修改调整作图!$M$106:$M$107</c:f>
              <c:strCache>
                <c:ptCount val="2"/>
                <c:pt idx="0">
                  <c:v>汉族</c:v>
                </c:pt>
                <c:pt idx="1">
                  <c:v>少数民族</c:v>
                </c:pt>
              </c:strCache>
            </c:strRef>
          </c:cat>
          <c:val>
            <c:numRef>
              <c:f>修改调整作图!$P$106:$P$107</c:f>
              <c:numCache>
                <c:formatCode>0.00%</c:formatCode>
                <c:ptCount val="2"/>
                <c:pt idx="0">
                  <c:v>0.958759124087592</c:v>
                </c:pt>
                <c:pt idx="1">
                  <c:v>0.936406995230525</c:v>
                </c:pt>
              </c:numCache>
            </c:numRef>
          </c:val>
          <c:smooth val="0"/>
        </c:ser>
        <c:dLbls>
          <c:showLegendKey val="0"/>
          <c:showVal val="0"/>
          <c:showCatName val="0"/>
          <c:showSerName val="0"/>
          <c:showPercent val="0"/>
          <c:showBubbleSize val="0"/>
        </c:dLbls>
        <c:marker val="1"/>
        <c:smooth val="0"/>
        <c:axId val="283305088"/>
        <c:axId val="283299200"/>
      </c:lineChart>
      <c:catAx>
        <c:axId val="283295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cap="none" spc="0" normalizeH="0" baseline="0">
                <a:solidFill>
                  <a:schemeClr val="tx1">
                    <a:lumMod val="65000"/>
                    <a:lumOff val="35000"/>
                  </a:schemeClr>
                </a:solidFill>
                <a:latin typeface="+mn-lt"/>
                <a:ea typeface="+mn-ea"/>
                <a:cs typeface="+mn-cs"/>
              </a:defRPr>
            </a:pPr>
          </a:p>
        </c:txPr>
        <c:crossAx val="283297664"/>
        <c:crosses val="autoZero"/>
        <c:auto val="1"/>
        <c:lblAlgn val="ctr"/>
        <c:lblOffset val="100"/>
        <c:noMultiLvlLbl val="0"/>
      </c:catAx>
      <c:valAx>
        <c:axId val="28329766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295744"/>
        <c:crosses val="autoZero"/>
        <c:crossBetween val="between"/>
      </c:valAx>
      <c:catAx>
        <c:axId val="283305088"/>
        <c:scaling>
          <c:orientation val="minMax"/>
        </c:scaling>
        <c:delete val="1"/>
        <c:axPos val="b"/>
        <c:numFmt formatCode="General" sourceLinked="1"/>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3299200"/>
        <c:crosses val="autoZero"/>
        <c:auto val="1"/>
        <c:lblAlgn val="ctr"/>
        <c:lblOffset val="100"/>
        <c:noMultiLvlLbl val="0"/>
      </c:catAx>
      <c:valAx>
        <c:axId val="283299200"/>
        <c:scaling>
          <c:orientation val="minMax"/>
        </c:scaling>
        <c:delete val="0"/>
        <c:axPos val="r"/>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305088"/>
        <c:crosses val="max"/>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660264842585"/>
          <c:y val="0.0163942239294352"/>
          <c:w val="0.883905074365705"/>
          <c:h val="0.83810449067001"/>
        </c:manualLayout>
      </c:layout>
      <c:barChart>
        <c:barDir val="bar"/>
        <c:grouping val="clustered"/>
        <c:varyColors val="0"/>
        <c:ser>
          <c:idx val="0"/>
          <c:order val="0"/>
          <c:spPr>
            <a:solidFill>
              <a:srgbClr val="00B0F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04183674168088e-16"/>
                  <c:y val="0.000494736093327654"/>
                </c:manualLayout>
              </c:layout>
              <c:tx>
                <c:rich>
                  <a:bodyPr rot="0" spcFirstLastPara="1" vertOverflow="ellipsis" vert="horz" wrap="square" lIns="38100" tIns="19050" rIns="38100" bIns="19050" anchor="ctr" anchorCtr="1"/>
                  <a:lstStyle/>
                  <a:p>
                    <a:fld id="{0c4a8067-7398-4bd0-b4e9-04080b79d1d1}" type="VALUE">
                      <a:t>[VALUE]</a:t>
                    </a:fld>
                    <a:endParaRPr b="0" i="0" u="none" strike="noStrike" baseline="0">
                      <a:latin typeface="Times New Roman" panose="02020603050405020304" charset="0"/>
                      <a:ea typeface="Times New Roman" panose="02020603050405020304" charset="0"/>
                      <a:cs typeface="+mn-ea"/>
                    </a:endParaRPr>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833333333333334"/>
                  <c:y val="0.000156494522691706"/>
                </c:manualLayout>
              </c:layout>
              <c:tx>
                <c:rich>
                  <a:bodyPr rot="0" spcFirstLastPara="1" vertOverflow="ellipsis" vert="horz" wrap="square" lIns="38100" tIns="19050" rIns="38100" bIns="19050" anchor="ctr" anchorCtr="1"/>
                  <a:lstStyle/>
                  <a:p>
                    <a:fld id="{10f4480b-803c-4ed6-befb-9847e884d1ba}" type="VALUE">
                      <a:t>[VALUE]</a:t>
                    </a:fld>
                    <a:endParaRPr b="0" i="0" u="none" strike="noStrike" baseline="0">
                      <a:latin typeface="Times New Roman" panose="02020603050405020304" charset="0"/>
                      <a:ea typeface="Times New Roman" panose="02020603050405020304" charset="0"/>
                      <a:cs typeface="+mn-ea"/>
                    </a:endParaRPr>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55884416381654"/>
                  <c:y val="-0.00393050220515005"/>
                </c:manualLayout>
              </c:layout>
              <c:tx>
                <c:rich>
                  <a:bodyPr rot="0" spcFirstLastPara="1" vertOverflow="ellipsis" vert="horz" wrap="square" lIns="38100" tIns="19050" rIns="38100" bIns="19050" anchor="ctr" anchorCtr="1"/>
                  <a:lstStyle/>
                  <a:p>
                    <a:fld id="{05f9adc5-5a36-4911-b8fb-1f3efd563994}" type="VALUE">
                      <a:t>[VALUE]</a:t>
                    </a:fld>
                    <a:endParaRPr b="0" i="0" u="none" strike="noStrike" baseline="0">
                      <a:latin typeface="Times New Roman" panose="02020603050405020304" charset="0"/>
                      <a:ea typeface="Times New Roman" panose="02020603050405020304" charset="0"/>
                      <a:cs typeface="+mn-ea"/>
                    </a:endParaRPr>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tx>
                <c:rich>
                  <a:bodyPr rot="0" spcFirstLastPara="1" vertOverflow="ellipsis" vert="horz" wrap="square" lIns="38100" tIns="19050" rIns="38100" bIns="19050" anchor="ctr" anchorCtr="1"/>
                  <a:lstStyle/>
                  <a:p>
                    <a:fld id="{21633ec5-839d-43c0-9f76-cb74c1f09f33}" type="VALUE">
                      <a:t>[VALUE]</a:t>
                    </a:fld>
                    <a:endParaRPr b="0" i="0" u="none" strike="noStrike" baseline="0">
                      <a:latin typeface="Times New Roman" panose="02020603050405020304" charset="0"/>
                      <a:ea typeface="Times New Roman" panose="02020603050405020304" charset="0"/>
                      <a:cs typeface="+mn-ea"/>
                    </a:endParaRPr>
                  </a:p>
                </c:rich>
              </c:tx>
              <c:dLblPos val="inEnd"/>
              <c:showLegendKey val="0"/>
              <c:showVal val="1"/>
              <c:showCatName val="0"/>
              <c:showSerName val="0"/>
              <c:showPercent val="0"/>
              <c:showBubbleSize val="0"/>
              <c:extLst>
                <c:ext xmlns:c15="http://schemas.microsoft.com/office/drawing/2012/chart" uri="{CE6537A1-D6FC-4f65-9D91-7224C49458BB}"/>
              </c:extLst>
            </c:dLbl>
            <c:dLbl>
              <c:idx val="4"/>
              <c:layout/>
              <c:tx>
                <c:rich>
                  <a:bodyPr rot="0" spcFirstLastPara="1" vertOverflow="ellipsis" vert="horz" wrap="square" lIns="38100" tIns="19050" rIns="38100" bIns="19050" anchor="ctr" anchorCtr="1"/>
                  <a:lstStyle/>
                  <a:p>
                    <a:fld id="{95476240-b39a-433d-ac88-3ae4924e8128}" type="VALUE">
                      <a:t>[VALUE]</a:t>
                    </a:fld>
                    <a:endParaRPr b="0" i="0" u="none" strike="noStrike" baseline="0">
                      <a:latin typeface="Times New Roman" panose="02020603050405020304" charset="0"/>
                      <a:ea typeface="Times New Roman" panose="02020603050405020304" charset="0"/>
                      <a:cs typeface="+mn-ea"/>
                    </a:endParaRPr>
                  </a:p>
                </c:rich>
              </c:tx>
              <c:dLblPos val="inEnd"/>
              <c:showLegendKey val="0"/>
              <c:showVal val="1"/>
              <c:showCatName val="0"/>
              <c:showSerName val="0"/>
              <c:showPercent val="0"/>
              <c:showBubbleSize val="0"/>
              <c:extLst>
                <c:ext xmlns:c15="http://schemas.microsoft.com/office/drawing/2012/chart" uri="{CE6537A1-D6FC-4f65-9D91-7224C49458BB}"/>
              </c:extLst>
            </c:dLbl>
            <c:dLbl>
              <c:idx val="5"/>
              <c:layout/>
              <c:tx>
                <c:rich>
                  <a:bodyPr rot="0" spcFirstLastPara="1" vertOverflow="ellipsis" vert="horz" wrap="square" lIns="38100" tIns="19050" rIns="38100" bIns="19050" anchor="ctr" anchorCtr="1"/>
                  <a:lstStyle/>
                  <a:p>
                    <a:fld id="{ed8cd762-04d6-43b7-9401-3111d0fef0e9}" type="VALUE">
                      <a:t>[VALUE]</a:t>
                    </a:fld>
                    <a:endParaRPr b="0" i="0" u="none" strike="noStrike" baseline="0">
                      <a:latin typeface="Times New Roman" panose="02020603050405020304" charset="0"/>
                      <a:ea typeface="Times New Roman" panose="02020603050405020304" charset="0"/>
                      <a:cs typeface="+mn-ea"/>
                    </a:endParaRPr>
                  </a:p>
                </c:rich>
              </c:tx>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修改调整作图!$D$184:$D$189</c:f>
              <c:strCache>
                <c:ptCount val="6"/>
                <c:pt idx="0">
                  <c:v>协议就业</c:v>
                </c:pt>
                <c:pt idx="1">
                  <c:v>灵活就业</c:v>
                </c:pt>
                <c:pt idx="2">
                  <c:v>待就业</c:v>
                </c:pt>
                <c:pt idx="3">
                  <c:v>升学</c:v>
                </c:pt>
                <c:pt idx="4">
                  <c:v>自主创业</c:v>
                </c:pt>
                <c:pt idx="5">
                  <c:v>自由职业</c:v>
                </c:pt>
              </c:strCache>
            </c:strRef>
          </c:cat>
          <c:val>
            <c:numRef>
              <c:f>修改调整作图!$F$184:$F$189</c:f>
              <c:numCache>
                <c:formatCode>0.00%</c:formatCode>
                <c:ptCount val="6"/>
                <c:pt idx="0">
                  <c:v>0.533986346096764</c:v>
                </c:pt>
                <c:pt idx="1">
                  <c:v>0.403977441377264</c:v>
                </c:pt>
                <c:pt idx="2">
                  <c:v>0.0454140694568121</c:v>
                </c:pt>
                <c:pt idx="3">
                  <c:v>0.0139507272187593</c:v>
                </c:pt>
                <c:pt idx="4">
                  <c:v>0.00237459186702286</c:v>
                </c:pt>
                <c:pt idx="5">
                  <c:v>0.000296823983377857</c:v>
                </c:pt>
              </c:numCache>
            </c:numRef>
          </c:val>
        </c:ser>
        <c:dLbls>
          <c:showLegendKey val="0"/>
          <c:showVal val="1"/>
          <c:showCatName val="0"/>
          <c:showSerName val="0"/>
          <c:showPercent val="0"/>
          <c:showBubbleSize val="0"/>
        </c:dLbls>
        <c:gapWidth val="100"/>
        <c:axId val="283435392"/>
        <c:axId val="283436928"/>
      </c:barChart>
      <c:catAx>
        <c:axId val="283435392"/>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436928"/>
        <c:crosses val="autoZero"/>
        <c:auto val="1"/>
        <c:lblAlgn val="ctr"/>
        <c:lblOffset val="100"/>
        <c:noMultiLvlLbl val="0"/>
      </c:catAx>
      <c:valAx>
        <c:axId val="283436928"/>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435392"/>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1247594050744"/>
          <c:y val="0.0509259259259259"/>
          <c:w val="0.504662073490814"/>
          <c:h val="0.86482283464567"/>
        </c:manualLayout>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2"/>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2">
                          <a:lumMod val="35000"/>
                          <a:lumOff val="65000"/>
                        </a:schemeClr>
                      </a:solidFill>
                      <a:prstDash val="solid"/>
                      <a:round/>
                    </a:ln>
                    <a:effectLst/>
                  </c:spPr>
                </c15:leaderLines>
              </c:ext>
            </c:extLst>
          </c:dLbls>
          <c:cat>
            <c:strRef>
              <c:f>修改调整作图!$D$242:$D$261</c:f>
              <c:strCache>
                <c:ptCount val="20"/>
                <c:pt idx="0">
                  <c:v>卫生和社会工作</c:v>
                </c:pt>
                <c:pt idx="1">
                  <c:v>制造业</c:v>
                </c:pt>
                <c:pt idx="2">
                  <c:v>教育</c:v>
                </c:pt>
                <c:pt idx="3">
                  <c:v>信息传输、软件和信息技术服务业</c:v>
                </c:pt>
                <c:pt idx="4">
                  <c:v>居民服务、修理和其他服务业</c:v>
                </c:pt>
                <c:pt idx="5">
                  <c:v>建筑业</c:v>
                </c:pt>
                <c:pt idx="6">
                  <c:v>批发和零售业</c:v>
                </c:pt>
                <c:pt idx="7">
                  <c:v>住宿和餐饮业</c:v>
                </c:pt>
                <c:pt idx="8">
                  <c:v>租赁和商务服务业</c:v>
                </c:pt>
                <c:pt idx="9">
                  <c:v>文化、体育和娱乐业</c:v>
                </c:pt>
                <c:pt idx="10">
                  <c:v>交通运输、仓储和邮政业</c:v>
                </c:pt>
                <c:pt idx="11">
                  <c:v>金融业</c:v>
                </c:pt>
                <c:pt idx="12">
                  <c:v>农、林、牧、渔业</c:v>
                </c:pt>
                <c:pt idx="13">
                  <c:v>公共管理、社会保障和社会组织</c:v>
                </c:pt>
                <c:pt idx="14">
                  <c:v>房地产业</c:v>
                </c:pt>
                <c:pt idx="15">
                  <c:v>电力、热力、燃气及水生产和供应业</c:v>
                </c:pt>
                <c:pt idx="16">
                  <c:v>水利、环境和公共设施管理业</c:v>
                </c:pt>
                <c:pt idx="17">
                  <c:v>科学研究和技术服务业</c:v>
                </c:pt>
                <c:pt idx="18">
                  <c:v>军队</c:v>
                </c:pt>
                <c:pt idx="19">
                  <c:v>采矿业</c:v>
                </c:pt>
              </c:strCache>
            </c:strRef>
          </c:cat>
          <c:val>
            <c:numRef>
              <c:f>修改调整作图!$F$242:$F$261</c:f>
              <c:numCache>
                <c:formatCode>0.00%</c:formatCode>
                <c:ptCount val="20"/>
                <c:pt idx="0">
                  <c:v>0.476371709483032</c:v>
                </c:pt>
                <c:pt idx="1">
                  <c:v>0.0986362194735173</c:v>
                </c:pt>
                <c:pt idx="2">
                  <c:v>0.088804313352363</c:v>
                </c:pt>
                <c:pt idx="3">
                  <c:v>0.0653346019663813</c:v>
                </c:pt>
                <c:pt idx="4">
                  <c:v>0.0548683793212814</c:v>
                </c:pt>
                <c:pt idx="5">
                  <c:v>0.0453536314620996</c:v>
                </c:pt>
                <c:pt idx="6">
                  <c:v>0.0383761496986997</c:v>
                </c:pt>
                <c:pt idx="7">
                  <c:v>0.0237868696479543</c:v>
                </c:pt>
                <c:pt idx="8">
                  <c:v>0.0199809705042817</c:v>
                </c:pt>
                <c:pt idx="9">
                  <c:v>0.0177608626704726</c:v>
                </c:pt>
                <c:pt idx="10">
                  <c:v>0.012686330478909</c:v>
                </c:pt>
                <c:pt idx="11">
                  <c:v>0.012686330478909</c:v>
                </c:pt>
                <c:pt idx="12">
                  <c:v>0.012686330478909</c:v>
                </c:pt>
                <c:pt idx="13">
                  <c:v>0.0111005391690454</c:v>
                </c:pt>
                <c:pt idx="14">
                  <c:v>0.0101490643831272</c:v>
                </c:pt>
                <c:pt idx="15">
                  <c:v>0.0038058991436727</c:v>
                </c:pt>
                <c:pt idx="16">
                  <c:v>0.00348874088169997</c:v>
                </c:pt>
                <c:pt idx="17">
                  <c:v>0.00190294957183635</c:v>
                </c:pt>
                <c:pt idx="18">
                  <c:v>0.00158579130986362</c:v>
                </c:pt>
                <c:pt idx="19">
                  <c:v>0.000634316523945449</c:v>
                </c:pt>
              </c:numCache>
            </c:numRef>
          </c:val>
        </c:ser>
        <c:dLbls>
          <c:showLegendKey val="0"/>
          <c:showVal val="1"/>
          <c:showCatName val="0"/>
          <c:showSerName val="0"/>
          <c:showPercent val="0"/>
          <c:showBubbleSize val="0"/>
        </c:dLbls>
        <c:gapWidth val="100"/>
        <c:axId val="283461120"/>
        <c:axId val="283462656"/>
      </c:barChart>
      <c:catAx>
        <c:axId val="283461120"/>
        <c:scaling>
          <c:orientation val="maxMin"/>
        </c:scaling>
        <c:delete val="0"/>
        <c:axPos val="l"/>
        <c:numFmt formatCode="General" sourceLinked="1"/>
        <c:majorTickMark val="none"/>
        <c:minorTickMark val="none"/>
        <c:tickLblPos val="nextTo"/>
        <c:spPr>
          <a:noFill/>
          <a:ln w="9525" cap="flat" cmpd="sng" algn="ctr">
            <a:solidFill>
              <a:schemeClr val="tx2">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p>
        </c:txPr>
        <c:crossAx val="283462656"/>
        <c:crosses val="autoZero"/>
        <c:auto val="1"/>
        <c:lblAlgn val="ctr"/>
        <c:lblOffset val="100"/>
        <c:noMultiLvlLbl val="0"/>
      </c:catAx>
      <c:valAx>
        <c:axId val="283462656"/>
        <c:scaling>
          <c:orientation val="minMax"/>
        </c:scaling>
        <c:delete val="0"/>
        <c:axPos val="b"/>
        <c:numFmt formatCode="0.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p>
        </c:txPr>
        <c:crossAx val="283461120"/>
        <c:crosses val="max"/>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1C3A34ADCA841F6A0B774D26AA4DCF1"/>
        <w:style w:val=""/>
        <w:category>
          <w:name w:val="常规"/>
          <w:gallery w:val="placeholder"/>
        </w:category>
        <w:types>
          <w:type w:val="bbPlcHdr"/>
        </w:types>
        <w:behaviors>
          <w:behavior w:val="content"/>
        </w:behaviors>
        <w:description w:val=""/>
        <w:guid w:val="{8F31C778-50CB-4DBB-9C8F-376208AECDA1}"/>
      </w:docPartPr>
      <w:docPartBody>
        <w:p>
          <w:pPr>
            <w:pStyle w:val="4"/>
          </w:pPr>
          <w:r>
            <w:rPr>
              <w:lang w:val="zh-CN"/>
            </w:rPr>
            <w:t>[在此处键入]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Calibri Light">
    <w:altName w:val="Lucida Sans Unicode"/>
    <w:panose1 w:val="020F0302020204030204"/>
    <w:charset w:val="00"/>
    <w:family w:val="swiss"/>
    <w:pitch w:val="default"/>
    <w:sig w:usb0="00000000" w:usb1="00000000" w:usb2="00000009" w:usb3="00000000" w:csb0="000001FF" w:csb1="00000000"/>
  </w:font>
  <w:font w:name="Tahoma">
    <w:panose1 w:val="020B0604030504040204"/>
    <w:charset w:val="00"/>
    <w:family w:val="swiss"/>
    <w:pitch w:val="default"/>
    <w:sig w:usb0="61007A87" w:usb1="80000000" w:usb2="00000008" w:usb3="00000000" w:csb0="200101FF" w:csb1="20280000"/>
  </w:font>
  <w:font w:name="Lucida Sans Unicode">
    <w:panose1 w:val="020B0602030504020204"/>
    <w:charset w:val="00"/>
    <w:family w:val="auto"/>
    <w:pitch w:val="default"/>
    <w:sig w:usb0="80001AFF" w:usb1="0000396B" w:usb2="00000000" w:usb3="00000000" w:csb0="0000003F" w:csb1="D7F7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A6787"/>
    <w:rsid w:val="00001110"/>
    <w:rsid w:val="001C4B3B"/>
    <w:rsid w:val="002E0E93"/>
    <w:rsid w:val="003837F1"/>
    <w:rsid w:val="003A6787"/>
    <w:rsid w:val="004E0D9F"/>
    <w:rsid w:val="005B7BF1"/>
    <w:rsid w:val="00612DEE"/>
    <w:rsid w:val="00846C10"/>
    <w:rsid w:val="00980D50"/>
    <w:rsid w:val="00A14A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semiHidden="0" w:name="Default Paragraph Font"/>
    <w:lsdException w:qFormat="1"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71C3A34ADCA841F6A0B774D26AA4DC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FB29DBD31D6E4C3EBC397B1AA5C11E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53D34B2C0FD453397A5B26EB5DDC4C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市镇">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奥斯汀">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1.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1.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CE0606-A9A6-41BF-8F5B-99171D3FB335}">
  <ds:schemaRefs/>
</ds:datastoreItem>
</file>

<file path=docProps/app.xml><?xml version="1.0" encoding="utf-8"?>
<Properties xmlns="http://schemas.openxmlformats.org/officeDocument/2006/extended-properties" xmlns:vt="http://schemas.openxmlformats.org/officeDocument/2006/docPropsVTypes">
  <Template>Normal</Template>
  <Pages>57</Pages>
  <Words>4912</Words>
  <Characters>27999</Characters>
  <Lines>233</Lines>
  <Paragraphs>65</Paragraphs>
  <ScaleCrop>false</ScaleCrop>
  <LinksUpToDate>false</LinksUpToDate>
  <CharactersWithSpaces>32846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2018-01-05T09:25:00Z</dcterms:created>
  <dc:creator>端木佳睿</dc:creator>
  <cp:lastModifiedBy>合金钢</cp:lastModifiedBy>
  <cp:lastPrinted>2018-01-11T08:28:00Z</cp:lastPrinted>
  <dcterms:modified xsi:type="dcterms:W3CDTF">2018-01-12T07:08:47Z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